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63A8" w14:textId="77777777" w:rsidR="0027010F" w:rsidRPr="00802DB6" w:rsidRDefault="0027010F" w:rsidP="0027010F">
      <w:pPr>
        <w:jc w:val="center"/>
        <w:rPr>
          <w:rFonts w:eastAsia="Calibri" w:cs="Times New Roman"/>
          <w:b/>
          <w:sz w:val="36"/>
          <w:szCs w:val="44"/>
        </w:rPr>
      </w:pPr>
      <w:r w:rsidRPr="00802DB6">
        <w:rPr>
          <w:rFonts w:eastAsia="Calibri" w:cs="Times New Roman"/>
          <w:b/>
          <w:noProof/>
          <w:sz w:val="36"/>
          <w:szCs w:val="44"/>
        </w:rPr>
        <w:drawing>
          <wp:inline distT="0" distB="0" distL="0" distR="0" wp14:anchorId="6CB0D3CB" wp14:editId="232700E2">
            <wp:extent cx="2314575" cy="2209800"/>
            <wp:effectExtent l="0" t="0" r="9525" b="0"/>
            <wp:docPr id="3" name="Picture 3" descr="A picture containing text, emblem, trademar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emblem, trademar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4575" cy="2209800"/>
                    </a:xfrm>
                    <a:prstGeom prst="rect">
                      <a:avLst/>
                    </a:prstGeom>
                  </pic:spPr>
                </pic:pic>
              </a:graphicData>
            </a:graphic>
          </wp:inline>
        </w:drawing>
      </w:r>
    </w:p>
    <w:p w14:paraId="576AF481" w14:textId="77777777" w:rsidR="0027010F" w:rsidRPr="00802DB6" w:rsidRDefault="0027010F" w:rsidP="0027010F">
      <w:pPr>
        <w:jc w:val="center"/>
        <w:rPr>
          <w:rFonts w:eastAsia="Calibri" w:cs="Times New Roman"/>
          <w:b/>
          <w:sz w:val="36"/>
          <w:szCs w:val="44"/>
        </w:rPr>
      </w:pPr>
    </w:p>
    <w:p w14:paraId="4B57B3BC" w14:textId="77777777" w:rsidR="0027010F" w:rsidRDefault="0027010F" w:rsidP="0027010F">
      <w:pPr>
        <w:jc w:val="center"/>
        <w:rPr>
          <w:rFonts w:eastAsia="Calibri" w:cs="Times New Roman"/>
          <w:b/>
          <w:sz w:val="36"/>
          <w:szCs w:val="44"/>
        </w:rPr>
      </w:pPr>
      <w:r w:rsidRPr="00802DB6">
        <w:rPr>
          <w:rFonts w:eastAsia="Calibri" w:cs="Times New Roman"/>
          <w:b/>
          <w:sz w:val="36"/>
          <w:szCs w:val="44"/>
        </w:rPr>
        <w:t xml:space="preserve"> </w:t>
      </w:r>
    </w:p>
    <w:p w14:paraId="3D32D5DA" w14:textId="2A599FE4" w:rsidR="0027010F" w:rsidRPr="00802DB6" w:rsidRDefault="0027010F" w:rsidP="0027010F">
      <w:pPr>
        <w:jc w:val="center"/>
        <w:rPr>
          <w:rFonts w:eastAsia="Calibri" w:cs="Times New Roman"/>
          <w:b/>
          <w:sz w:val="48"/>
          <w:szCs w:val="48"/>
        </w:rPr>
      </w:pPr>
      <w:r w:rsidRPr="00802DB6">
        <w:rPr>
          <w:rFonts w:eastAsia="Calibri" w:cs="Times New Roman"/>
          <w:b/>
          <w:sz w:val="48"/>
          <w:szCs w:val="48"/>
        </w:rPr>
        <w:t>House Education and Public Works Committee</w:t>
      </w:r>
    </w:p>
    <w:p w14:paraId="6242CFA1" w14:textId="77777777" w:rsidR="0027010F" w:rsidRPr="00802DB6" w:rsidRDefault="0027010F" w:rsidP="0027010F">
      <w:pPr>
        <w:jc w:val="center"/>
        <w:rPr>
          <w:rFonts w:eastAsia="Calibri" w:cs="Times New Roman"/>
          <w:sz w:val="48"/>
          <w:szCs w:val="48"/>
        </w:rPr>
      </w:pPr>
    </w:p>
    <w:p w14:paraId="38243F9C" w14:textId="77777777" w:rsidR="0027010F" w:rsidRPr="00802DB6" w:rsidRDefault="0027010F" w:rsidP="0027010F">
      <w:pPr>
        <w:jc w:val="center"/>
        <w:rPr>
          <w:rFonts w:eastAsia="Calibri" w:cs="Times New Roman"/>
          <w:sz w:val="48"/>
          <w:szCs w:val="48"/>
        </w:rPr>
      </w:pPr>
    </w:p>
    <w:p w14:paraId="61A921A1" w14:textId="77777777" w:rsidR="0027010F" w:rsidRPr="00802DB6" w:rsidRDefault="0027010F" w:rsidP="0027010F">
      <w:pPr>
        <w:jc w:val="center"/>
        <w:rPr>
          <w:rFonts w:eastAsia="Calibri" w:cs="Times New Roman"/>
          <w:sz w:val="48"/>
          <w:szCs w:val="48"/>
        </w:rPr>
      </w:pPr>
      <w:r w:rsidRPr="00802DB6">
        <w:rPr>
          <w:rFonts w:eastAsia="Calibri" w:cs="Times New Roman"/>
          <w:sz w:val="48"/>
          <w:szCs w:val="48"/>
        </w:rPr>
        <w:t>Status of Bills Acted Upon by the Committee</w:t>
      </w:r>
    </w:p>
    <w:p w14:paraId="307C1526" w14:textId="77777777" w:rsidR="0027010F" w:rsidRPr="00802DB6" w:rsidRDefault="0027010F" w:rsidP="0027010F">
      <w:pPr>
        <w:jc w:val="center"/>
        <w:rPr>
          <w:rFonts w:eastAsia="Calibri" w:cs="Times New Roman"/>
          <w:sz w:val="48"/>
          <w:szCs w:val="48"/>
        </w:rPr>
      </w:pPr>
      <w:r w:rsidRPr="00802DB6">
        <w:rPr>
          <w:rFonts w:eastAsia="Calibri" w:cs="Times New Roman"/>
          <w:sz w:val="48"/>
          <w:szCs w:val="48"/>
        </w:rPr>
        <w:t>(202</w:t>
      </w:r>
      <w:r>
        <w:rPr>
          <w:rFonts w:eastAsia="Calibri" w:cs="Times New Roman"/>
          <w:sz w:val="48"/>
          <w:szCs w:val="48"/>
        </w:rPr>
        <w:t xml:space="preserve">3 </w:t>
      </w:r>
      <w:r w:rsidRPr="00802DB6">
        <w:rPr>
          <w:rFonts w:eastAsia="Calibri" w:cs="Times New Roman"/>
          <w:sz w:val="48"/>
          <w:szCs w:val="48"/>
        </w:rPr>
        <w:t>Legislative Session)</w:t>
      </w:r>
    </w:p>
    <w:p w14:paraId="23442FB8" w14:textId="77777777" w:rsidR="0027010F" w:rsidRPr="00802DB6" w:rsidRDefault="0027010F" w:rsidP="0027010F">
      <w:pPr>
        <w:jc w:val="center"/>
        <w:rPr>
          <w:rFonts w:eastAsia="Calibri" w:cs="Times New Roman"/>
          <w:sz w:val="48"/>
          <w:szCs w:val="48"/>
        </w:rPr>
      </w:pPr>
    </w:p>
    <w:p w14:paraId="09E76251" w14:textId="77777777" w:rsidR="0027010F" w:rsidRPr="00802DB6" w:rsidRDefault="0027010F" w:rsidP="0027010F">
      <w:pPr>
        <w:jc w:val="center"/>
        <w:rPr>
          <w:rFonts w:eastAsia="Calibri" w:cs="Times New Roman"/>
          <w:sz w:val="32"/>
          <w:szCs w:val="40"/>
        </w:rPr>
      </w:pPr>
    </w:p>
    <w:p w14:paraId="0CB360F2" w14:textId="77777777" w:rsidR="0027010F" w:rsidRPr="00802DB6" w:rsidRDefault="0027010F" w:rsidP="0027010F">
      <w:pPr>
        <w:jc w:val="center"/>
        <w:rPr>
          <w:rFonts w:eastAsia="Calibri" w:cs="Times New Roman"/>
          <w:sz w:val="32"/>
          <w:szCs w:val="40"/>
        </w:rPr>
      </w:pPr>
    </w:p>
    <w:p w14:paraId="589ADB23" w14:textId="77777777" w:rsidR="0027010F" w:rsidRPr="00802DB6" w:rsidRDefault="0027010F" w:rsidP="0027010F">
      <w:pPr>
        <w:jc w:val="center"/>
        <w:rPr>
          <w:rFonts w:eastAsia="Calibri" w:cs="Times New Roman"/>
          <w:sz w:val="32"/>
          <w:szCs w:val="40"/>
        </w:rPr>
      </w:pPr>
    </w:p>
    <w:p w14:paraId="47D5A289" w14:textId="77777777" w:rsidR="0027010F" w:rsidRPr="00802DB6" w:rsidRDefault="0027010F" w:rsidP="0027010F">
      <w:pPr>
        <w:jc w:val="center"/>
        <w:rPr>
          <w:rFonts w:eastAsia="Calibri" w:cs="Times New Roman"/>
          <w:sz w:val="32"/>
          <w:szCs w:val="40"/>
        </w:rPr>
      </w:pPr>
      <w:r w:rsidRPr="00802DB6">
        <w:rPr>
          <w:rFonts w:eastAsia="Calibri" w:cs="Times New Roman"/>
          <w:sz w:val="32"/>
          <w:szCs w:val="40"/>
        </w:rPr>
        <w:t xml:space="preserve">The Honorable </w:t>
      </w:r>
      <w:r>
        <w:rPr>
          <w:rFonts w:eastAsia="Calibri" w:cs="Times New Roman"/>
          <w:sz w:val="32"/>
          <w:szCs w:val="40"/>
        </w:rPr>
        <w:t>Shannon Erickson</w:t>
      </w:r>
    </w:p>
    <w:p w14:paraId="69C92CEC" w14:textId="77777777" w:rsidR="0027010F" w:rsidRPr="00802DB6" w:rsidRDefault="0027010F" w:rsidP="0027010F">
      <w:pPr>
        <w:jc w:val="center"/>
        <w:rPr>
          <w:rFonts w:eastAsia="Calibri" w:cs="Times New Roman"/>
          <w:sz w:val="32"/>
          <w:szCs w:val="40"/>
        </w:rPr>
      </w:pPr>
      <w:r w:rsidRPr="00802DB6">
        <w:rPr>
          <w:rFonts w:eastAsia="Calibri" w:cs="Times New Roman"/>
          <w:sz w:val="32"/>
          <w:szCs w:val="40"/>
        </w:rPr>
        <w:t>Chair</w:t>
      </w:r>
    </w:p>
    <w:p w14:paraId="65CD3AB1" w14:textId="77777777" w:rsidR="0027010F" w:rsidRPr="00802DB6" w:rsidRDefault="0027010F" w:rsidP="0027010F">
      <w:pPr>
        <w:jc w:val="center"/>
        <w:rPr>
          <w:rFonts w:eastAsia="Calibri" w:cs="Times New Roman"/>
          <w:sz w:val="32"/>
          <w:szCs w:val="40"/>
        </w:rPr>
      </w:pPr>
    </w:p>
    <w:p w14:paraId="0D5173CB" w14:textId="77777777" w:rsidR="0027010F" w:rsidRPr="00802DB6" w:rsidRDefault="0027010F" w:rsidP="0027010F">
      <w:pPr>
        <w:spacing w:before="48"/>
        <w:ind w:left="48" w:right="48"/>
        <w:rPr>
          <w:rFonts w:ascii="Arial" w:eastAsia="Arial Unicode MS" w:hAnsi="Arial" w:cs="Arial"/>
          <w:b/>
          <w:bCs/>
          <w:i/>
          <w:iCs/>
          <w:sz w:val="16"/>
          <w:szCs w:val="16"/>
        </w:rPr>
      </w:pPr>
    </w:p>
    <w:p w14:paraId="08D3DDE9" w14:textId="41F908FE" w:rsidR="0027010F" w:rsidRPr="00ED69A1" w:rsidRDefault="0027010F" w:rsidP="0027010F">
      <w:pPr>
        <w:spacing w:before="48"/>
        <w:ind w:left="48" w:right="48"/>
        <w:jc w:val="center"/>
        <w:rPr>
          <w:rFonts w:eastAsia="Arial Unicode MS" w:cs="Times New Roman"/>
          <w:bCs/>
          <w:iCs/>
          <w:sz w:val="24"/>
          <w:szCs w:val="24"/>
        </w:rPr>
      </w:pPr>
      <w:r>
        <w:rPr>
          <w:rFonts w:eastAsia="Arial Unicode MS" w:cs="Times New Roman"/>
          <w:bCs/>
          <w:iCs/>
          <w:sz w:val="24"/>
          <w:szCs w:val="24"/>
        </w:rPr>
        <w:t>(</w:t>
      </w:r>
      <w:r w:rsidR="00D14D82">
        <w:rPr>
          <w:rFonts w:eastAsia="Arial Unicode MS" w:cs="Times New Roman"/>
          <w:bCs/>
          <w:iCs/>
          <w:sz w:val="24"/>
          <w:szCs w:val="24"/>
        </w:rPr>
        <w:t>J</w:t>
      </w:r>
      <w:r w:rsidR="00CB55CB">
        <w:rPr>
          <w:rFonts w:eastAsia="Arial Unicode MS" w:cs="Times New Roman"/>
          <w:bCs/>
          <w:iCs/>
          <w:sz w:val="24"/>
          <w:szCs w:val="24"/>
        </w:rPr>
        <w:t>uly</w:t>
      </w:r>
      <w:r w:rsidR="00D14D82">
        <w:rPr>
          <w:rFonts w:eastAsia="Arial Unicode MS" w:cs="Times New Roman"/>
          <w:bCs/>
          <w:iCs/>
          <w:sz w:val="24"/>
          <w:szCs w:val="24"/>
        </w:rPr>
        <w:t xml:space="preserve"> </w:t>
      </w:r>
      <w:r w:rsidR="00607382">
        <w:rPr>
          <w:rFonts w:eastAsia="Arial Unicode MS" w:cs="Times New Roman"/>
          <w:bCs/>
          <w:iCs/>
          <w:sz w:val="24"/>
          <w:szCs w:val="24"/>
        </w:rPr>
        <w:t>24</w:t>
      </w:r>
      <w:r w:rsidRPr="00ED69A1">
        <w:rPr>
          <w:rFonts w:eastAsia="Arial Unicode MS" w:cs="Times New Roman"/>
          <w:bCs/>
          <w:iCs/>
          <w:sz w:val="24"/>
          <w:szCs w:val="24"/>
        </w:rPr>
        <w:t>, 202</w:t>
      </w:r>
      <w:r w:rsidR="00607382">
        <w:rPr>
          <w:rFonts w:eastAsia="Arial Unicode MS" w:cs="Times New Roman"/>
          <w:bCs/>
          <w:iCs/>
          <w:sz w:val="24"/>
          <w:szCs w:val="24"/>
        </w:rPr>
        <w:t>3</w:t>
      </w:r>
      <w:r w:rsidRPr="00ED69A1">
        <w:rPr>
          <w:rFonts w:eastAsia="Arial Unicode MS" w:cs="Times New Roman"/>
          <w:bCs/>
          <w:iCs/>
          <w:sz w:val="24"/>
          <w:szCs w:val="24"/>
        </w:rPr>
        <w:t>)</w:t>
      </w:r>
    </w:p>
    <w:p w14:paraId="42F4D8BC" w14:textId="77777777" w:rsidR="0027010F" w:rsidRDefault="0027010F" w:rsidP="0027010F">
      <w:pPr>
        <w:spacing w:before="48"/>
        <w:ind w:left="48" w:right="48"/>
        <w:rPr>
          <w:rFonts w:ascii="Arial" w:eastAsia="Arial Unicode MS" w:hAnsi="Arial" w:cs="Arial"/>
          <w:b/>
          <w:bCs/>
          <w:i/>
          <w:iCs/>
          <w:sz w:val="16"/>
          <w:szCs w:val="16"/>
        </w:rPr>
      </w:pPr>
    </w:p>
    <w:p w14:paraId="462B7AC4" w14:textId="77777777" w:rsidR="0027010F" w:rsidRDefault="0027010F" w:rsidP="0027010F">
      <w:pPr>
        <w:spacing w:before="48"/>
        <w:ind w:left="48" w:right="48"/>
        <w:rPr>
          <w:rFonts w:ascii="Arial" w:eastAsia="Arial Unicode MS" w:hAnsi="Arial" w:cs="Arial"/>
          <w:b/>
          <w:bCs/>
          <w:i/>
          <w:iCs/>
          <w:sz w:val="16"/>
          <w:szCs w:val="16"/>
        </w:rPr>
      </w:pPr>
    </w:p>
    <w:p w14:paraId="0D117C36" w14:textId="77777777" w:rsidR="0027010F" w:rsidRDefault="0027010F" w:rsidP="0027010F">
      <w:pPr>
        <w:spacing w:before="48"/>
        <w:ind w:left="48" w:right="48"/>
        <w:rPr>
          <w:rFonts w:ascii="Arial" w:eastAsia="Arial Unicode MS" w:hAnsi="Arial" w:cs="Arial"/>
          <w:b/>
          <w:bCs/>
          <w:i/>
          <w:iCs/>
          <w:sz w:val="16"/>
          <w:szCs w:val="16"/>
        </w:rPr>
      </w:pPr>
    </w:p>
    <w:p w14:paraId="72D6D046" w14:textId="77777777" w:rsidR="0027010F" w:rsidRDefault="0027010F" w:rsidP="0027010F">
      <w:pPr>
        <w:spacing w:before="48"/>
        <w:ind w:left="48" w:right="48"/>
        <w:rPr>
          <w:rFonts w:ascii="Arial" w:eastAsia="Arial Unicode MS" w:hAnsi="Arial" w:cs="Arial"/>
          <w:b/>
          <w:bCs/>
          <w:i/>
          <w:iCs/>
          <w:sz w:val="16"/>
          <w:szCs w:val="16"/>
        </w:rPr>
      </w:pPr>
    </w:p>
    <w:p w14:paraId="3600F129" w14:textId="77777777" w:rsidR="0027010F" w:rsidRDefault="0027010F" w:rsidP="0027010F">
      <w:pPr>
        <w:spacing w:before="48"/>
        <w:ind w:left="48" w:right="48"/>
        <w:rPr>
          <w:rFonts w:ascii="Arial" w:eastAsia="Arial Unicode MS" w:hAnsi="Arial" w:cs="Arial"/>
          <w:b/>
          <w:bCs/>
          <w:i/>
          <w:iCs/>
          <w:sz w:val="16"/>
          <w:szCs w:val="16"/>
        </w:rPr>
      </w:pPr>
    </w:p>
    <w:p w14:paraId="5D3082BE" w14:textId="77777777" w:rsidR="0027010F" w:rsidRDefault="0027010F" w:rsidP="0027010F">
      <w:pPr>
        <w:spacing w:before="48"/>
        <w:ind w:left="48" w:right="48"/>
        <w:rPr>
          <w:rFonts w:ascii="Arial" w:eastAsia="Arial Unicode MS" w:hAnsi="Arial" w:cs="Arial"/>
          <w:b/>
          <w:bCs/>
          <w:i/>
          <w:iCs/>
          <w:sz w:val="16"/>
          <w:szCs w:val="16"/>
        </w:rPr>
      </w:pPr>
    </w:p>
    <w:p w14:paraId="29148C7D" w14:textId="77777777" w:rsidR="0027010F" w:rsidRDefault="0027010F" w:rsidP="0027010F">
      <w:pPr>
        <w:spacing w:before="48"/>
        <w:ind w:left="48" w:right="48"/>
        <w:rPr>
          <w:rFonts w:ascii="Arial" w:eastAsia="Arial Unicode MS" w:hAnsi="Arial" w:cs="Arial"/>
          <w:b/>
          <w:bCs/>
          <w:i/>
          <w:iCs/>
          <w:sz w:val="16"/>
          <w:szCs w:val="16"/>
        </w:rPr>
      </w:pPr>
    </w:p>
    <w:p w14:paraId="145E6C9B" w14:textId="77777777" w:rsidR="0027010F" w:rsidRDefault="0027010F" w:rsidP="0027010F">
      <w:pPr>
        <w:spacing w:before="48"/>
        <w:ind w:left="48" w:right="48"/>
        <w:rPr>
          <w:rFonts w:ascii="Arial" w:eastAsia="Arial Unicode MS" w:hAnsi="Arial" w:cs="Arial"/>
          <w:b/>
          <w:bCs/>
          <w:i/>
          <w:iCs/>
          <w:sz w:val="16"/>
          <w:szCs w:val="16"/>
        </w:rPr>
      </w:pPr>
    </w:p>
    <w:p w14:paraId="05793DF2" w14:textId="7EDDA769" w:rsidR="0027010F" w:rsidRDefault="0027010F" w:rsidP="0027010F">
      <w:pPr>
        <w:spacing w:before="48"/>
        <w:ind w:left="48" w:right="48"/>
        <w:rPr>
          <w:rFonts w:ascii="Arial" w:eastAsia="Arial Unicode MS" w:hAnsi="Arial" w:cs="Arial"/>
          <w:b/>
          <w:bCs/>
          <w:i/>
          <w:iCs/>
          <w:sz w:val="16"/>
          <w:szCs w:val="16"/>
        </w:rPr>
      </w:pPr>
      <w:r w:rsidRPr="00802DB6">
        <w:rPr>
          <w:rFonts w:ascii="Arial" w:eastAsia="Arial Unicode MS" w:hAnsi="Arial" w:cs="Arial"/>
          <w:b/>
          <w:bCs/>
          <w:i/>
          <w:iCs/>
          <w:sz w:val="16"/>
          <w:szCs w:val="16"/>
        </w:rPr>
        <w:t>This report is prepared by the staff of the House of Representatives’ Education and Public Works Committee and is not the expression of the legislation’s sponsor(s), the committee, or the House of Representatives.  It is strictly for the internal use and benefit of members of the House and is not to be construed by a court of law as an expression of legislative intent.</w:t>
      </w:r>
      <w:r>
        <w:rPr>
          <w:rFonts w:ascii="Arial" w:eastAsia="Arial Unicode MS" w:hAnsi="Arial" w:cs="Arial"/>
          <w:b/>
          <w:bCs/>
          <w:i/>
          <w:iCs/>
          <w:sz w:val="16"/>
          <w:szCs w:val="16"/>
        </w:rPr>
        <w:br w:type="page"/>
      </w:r>
    </w:p>
    <w:p w14:paraId="174A12E8" w14:textId="77777777" w:rsidR="0027010F" w:rsidRPr="007C2E48" w:rsidRDefault="0027010F" w:rsidP="0027010F">
      <w:pPr>
        <w:jc w:val="center"/>
        <w:rPr>
          <w:rFonts w:cs="Times New Roman"/>
          <w:sz w:val="32"/>
          <w:szCs w:val="32"/>
          <w:u w:val="single"/>
        </w:rPr>
      </w:pPr>
      <w:r w:rsidRPr="007C2E48">
        <w:rPr>
          <w:rFonts w:cs="Times New Roman"/>
          <w:sz w:val="32"/>
          <w:szCs w:val="32"/>
          <w:u w:val="single"/>
        </w:rPr>
        <w:lastRenderedPageBreak/>
        <w:t>TABLE OF CONTENTS</w:t>
      </w:r>
    </w:p>
    <w:p w14:paraId="0FC40548" w14:textId="77777777" w:rsidR="0027010F" w:rsidRDefault="0027010F" w:rsidP="0027010F">
      <w:pPr>
        <w:rPr>
          <w:rFonts w:cs="Times New Roman"/>
          <w:sz w:val="28"/>
          <w:szCs w:val="28"/>
        </w:rPr>
      </w:pPr>
    </w:p>
    <w:p w14:paraId="6E0B5B11" w14:textId="77777777" w:rsidR="0027010F" w:rsidRPr="003C2595" w:rsidRDefault="0027010F" w:rsidP="0027010F">
      <w:pPr>
        <w:rPr>
          <w:rFonts w:cs="Times New Roman"/>
          <w:b/>
          <w:sz w:val="28"/>
          <w:szCs w:val="28"/>
        </w:rPr>
      </w:pPr>
      <w:r w:rsidRPr="003C2595">
        <w:rPr>
          <w:rFonts w:cs="Times New Roman"/>
          <w:b/>
          <w:sz w:val="28"/>
          <w:szCs w:val="28"/>
        </w:rPr>
        <w:t>K-12 Subcommittee</w:t>
      </w:r>
      <w:r w:rsidRPr="003C2595">
        <w:rPr>
          <w:rFonts w:cs="Times New Roman"/>
          <w:b/>
          <w:sz w:val="28"/>
          <w:szCs w:val="28"/>
        </w:rPr>
        <w:tab/>
      </w:r>
      <w:r w:rsidRPr="003C2595">
        <w:rPr>
          <w:rFonts w:cs="Times New Roman"/>
          <w:b/>
          <w:sz w:val="28"/>
          <w:szCs w:val="28"/>
        </w:rPr>
        <w:tab/>
      </w:r>
      <w:r w:rsidRPr="003C2595">
        <w:rPr>
          <w:rFonts w:cs="Times New Roman"/>
          <w:b/>
          <w:sz w:val="28"/>
          <w:szCs w:val="28"/>
        </w:rPr>
        <w:tab/>
      </w:r>
      <w:r w:rsidRPr="003C2595">
        <w:rPr>
          <w:rFonts w:cs="Times New Roman"/>
          <w:b/>
          <w:sz w:val="28"/>
          <w:szCs w:val="28"/>
        </w:rPr>
        <w:tab/>
      </w:r>
      <w:r w:rsidRPr="003C2595">
        <w:rPr>
          <w:rFonts w:cs="Times New Roman"/>
          <w:b/>
          <w:sz w:val="28"/>
          <w:szCs w:val="28"/>
        </w:rPr>
        <w:tab/>
      </w:r>
      <w:r w:rsidRPr="003C2595">
        <w:rPr>
          <w:rFonts w:cs="Times New Roman"/>
          <w:b/>
          <w:sz w:val="28"/>
          <w:szCs w:val="28"/>
        </w:rPr>
        <w:tab/>
      </w:r>
      <w:r w:rsidRPr="003C2595">
        <w:rPr>
          <w:rFonts w:cs="Times New Roman"/>
          <w:b/>
          <w:sz w:val="28"/>
          <w:szCs w:val="28"/>
        </w:rPr>
        <w:tab/>
      </w:r>
    </w:p>
    <w:p w14:paraId="4804F842" w14:textId="77777777" w:rsidR="0027010F" w:rsidRDefault="0027010F" w:rsidP="0027010F">
      <w:pPr>
        <w:rPr>
          <w:rFonts w:cs="Times New Roman"/>
          <w:sz w:val="24"/>
          <w:szCs w:val="24"/>
        </w:rPr>
      </w:pPr>
      <w:r>
        <w:rPr>
          <w:rFonts w:cs="Times New Roman"/>
          <w:sz w:val="24"/>
          <w:szCs w:val="24"/>
        </w:rPr>
        <w:tab/>
      </w:r>
    </w:p>
    <w:p w14:paraId="44B1990E" w14:textId="312A8A36" w:rsidR="0027010F" w:rsidRDefault="0027010F" w:rsidP="0027010F">
      <w:pPr>
        <w:ind w:left="720"/>
        <w:rPr>
          <w:rFonts w:cs="Times New Roman"/>
          <w:sz w:val="24"/>
          <w:szCs w:val="24"/>
        </w:rPr>
      </w:pPr>
      <w:r>
        <w:rPr>
          <w:rFonts w:cs="Times New Roman"/>
          <w:sz w:val="24"/>
          <w:szCs w:val="24"/>
        </w:rPr>
        <w:t>Bills adopted by the General Assembly</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Page 1</w:t>
      </w:r>
    </w:p>
    <w:p w14:paraId="3CDAE828" w14:textId="77777777" w:rsidR="0027010F" w:rsidRDefault="0027010F" w:rsidP="0027010F">
      <w:pPr>
        <w:rPr>
          <w:rFonts w:cs="Times New Roman"/>
          <w:sz w:val="24"/>
          <w:szCs w:val="24"/>
        </w:rPr>
      </w:pPr>
    </w:p>
    <w:p w14:paraId="6C498DEB" w14:textId="35091595" w:rsidR="0027010F" w:rsidRDefault="0027010F" w:rsidP="0027010F">
      <w:pPr>
        <w:rPr>
          <w:rFonts w:cs="Times New Roman"/>
          <w:sz w:val="24"/>
          <w:szCs w:val="24"/>
        </w:rPr>
      </w:pPr>
      <w:r>
        <w:rPr>
          <w:rFonts w:cs="Times New Roman"/>
          <w:sz w:val="24"/>
          <w:szCs w:val="24"/>
        </w:rPr>
        <w:tab/>
        <w:t>Bills awaiting deliberation by the Conference Committee</w:t>
      </w:r>
      <w:r>
        <w:rPr>
          <w:rFonts w:cs="Times New Roman"/>
          <w:sz w:val="24"/>
          <w:szCs w:val="24"/>
        </w:rPr>
        <w:tab/>
      </w:r>
      <w:r>
        <w:rPr>
          <w:rFonts w:cs="Times New Roman"/>
          <w:sz w:val="24"/>
          <w:szCs w:val="24"/>
        </w:rPr>
        <w:tab/>
      </w:r>
      <w:r>
        <w:rPr>
          <w:rFonts w:cs="Times New Roman"/>
          <w:sz w:val="24"/>
          <w:szCs w:val="24"/>
        </w:rPr>
        <w:tab/>
        <w:t>Page 3</w:t>
      </w:r>
    </w:p>
    <w:p w14:paraId="388DC0CF" w14:textId="77777777" w:rsidR="0027010F" w:rsidRDefault="0027010F" w:rsidP="0027010F">
      <w:pPr>
        <w:rPr>
          <w:rFonts w:cs="Times New Roman"/>
          <w:sz w:val="24"/>
          <w:szCs w:val="24"/>
        </w:rPr>
      </w:pPr>
    </w:p>
    <w:p w14:paraId="5CD6566C" w14:textId="77777777" w:rsidR="0027010F" w:rsidRDefault="0027010F" w:rsidP="0027010F">
      <w:pPr>
        <w:pStyle w:val="NoSpacing"/>
        <w:rPr>
          <w:rFonts w:ascii="Times New Roman" w:hAnsi="Times New Roman" w:cs="Times New Roman"/>
          <w:sz w:val="24"/>
          <w:szCs w:val="24"/>
        </w:rPr>
      </w:pPr>
      <w:r>
        <w:tab/>
      </w:r>
      <w:r w:rsidRPr="003C2595">
        <w:rPr>
          <w:rFonts w:ascii="Times New Roman" w:hAnsi="Times New Roman" w:cs="Times New Roman"/>
          <w:sz w:val="24"/>
          <w:szCs w:val="24"/>
        </w:rPr>
        <w:t xml:space="preserve">Bills adopted by </w:t>
      </w:r>
      <w:r>
        <w:rPr>
          <w:rFonts w:ascii="Times New Roman" w:hAnsi="Times New Roman" w:cs="Times New Roman"/>
          <w:sz w:val="24"/>
          <w:szCs w:val="24"/>
        </w:rPr>
        <w:t>the House and Awaiting Senate Action</w:t>
      </w:r>
      <w:r w:rsidRPr="003C2595">
        <w:rPr>
          <w:rFonts w:ascii="Times New Roman" w:hAnsi="Times New Roman" w:cs="Times New Roman"/>
          <w:sz w:val="24"/>
          <w:szCs w:val="24"/>
        </w:rPr>
        <w:tab/>
      </w:r>
      <w:r w:rsidRPr="003C2595">
        <w:rPr>
          <w:rFonts w:ascii="Times New Roman" w:hAnsi="Times New Roman" w:cs="Times New Roman"/>
          <w:sz w:val="24"/>
          <w:szCs w:val="24"/>
        </w:rPr>
        <w:tab/>
      </w:r>
      <w:r w:rsidRPr="003C2595">
        <w:rPr>
          <w:rFonts w:ascii="Times New Roman" w:hAnsi="Times New Roman" w:cs="Times New Roman"/>
          <w:sz w:val="24"/>
          <w:szCs w:val="24"/>
        </w:rPr>
        <w:tab/>
      </w:r>
      <w:r>
        <w:rPr>
          <w:rFonts w:ascii="Times New Roman" w:hAnsi="Times New Roman" w:cs="Times New Roman"/>
          <w:sz w:val="24"/>
          <w:szCs w:val="24"/>
        </w:rPr>
        <w:t>Page 3</w:t>
      </w:r>
    </w:p>
    <w:p w14:paraId="25BE565C" w14:textId="77777777" w:rsidR="0027010F" w:rsidRDefault="0027010F" w:rsidP="0027010F">
      <w:pPr>
        <w:pStyle w:val="NoSpacing"/>
        <w:rPr>
          <w:rFonts w:ascii="Times New Roman" w:hAnsi="Times New Roman" w:cs="Times New Roman"/>
          <w:sz w:val="24"/>
          <w:szCs w:val="24"/>
        </w:rPr>
      </w:pPr>
    </w:p>
    <w:p w14:paraId="1203DB32" w14:textId="77777777"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r>
    </w:p>
    <w:p w14:paraId="38FCC37D" w14:textId="77777777" w:rsidR="0027010F" w:rsidRPr="003C2595" w:rsidRDefault="0027010F" w:rsidP="0027010F">
      <w:pPr>
        <w:pStyle w:val="NoSpacing"/>
        <w:rPr>
          <w:rFonts w:ascii="Times New Roman" w:hAnsi="Times New Roman" w:cs="Times New Roman"/>
          <w:b/>
          <w:sz w:val="28"/>
          <w:szCs w:val="28"/>
        </w:rPr>
      </w:pPr>
      <w:bookmarkStart w:id="0" w:name="_Hlk135295313"/>
      <w:r>
        <w:rPr>
          <w:rFonts w:ascii="Times New Roman" w:hAnsi="Times New Roman" w:cs="Times New Roman"/>
          <w:b/>
          <w:sz w:val="28"/>
          <w:szCs w:val="28"/>
        </w:rPr>
        <w:t>Early Childhood</w:t>
      </w:r>
      <w:r w:rsidRPr="003C2595">
        <w:rPr>
          <w:rFonts w:ascii="Times New Roman" w:hAnsi="Times New Roman" w:cs="Times New Roman"/>
          <w:b/>
          <w:sz w:val="28"/>
          <w:szCs w:val="28"/>
        </w:rPr>
        <w:t xml:space="preserve"> Education</w:t>
      </w:r>
    </w:p>
    <w:bookmarkEnd w:id="0"/>
    <w:p w14:paraId="53E46056" w14:textId="77777777" w:rsidR="0027010F" w:rsidRDefault="0027010F" w:rsidP="0027010F">
      <w:pPr>
        <w:pStyle w:val="NoSpacing"/>
        <w:rPr>
          <w:rFonts w:ascii="Times New Roman" w:hAnsi="Times New Roman" w:cs="Times New Roman"/>
          <w:sz w:val="24"/>
          <w:szCs w:val="24"/>
        </w:rPr>
      </w:pPr>
    </w:p>
    <w:p w14:paraId="7B50997B" w14:textId="6B3590A6"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t xml:space="preserve">Bills </w:t>
      </w:r>
      <w:r w:rsidR="00D14D82">
        <w:rPr>
          <w:rFonts w:ascii="Times New Roman" w:hAnsi="Times New Roman" w:cs="Times New Roman"/>
          <w:sz w:val="24"/>
          <w:szCs w:val="24"/>
        </w:rPr>
        <w:t>adopted by the General Assembly</w:t>
      </w:r>
      <w:r w:rsidR="00D14D82">
        <w:rPr>
          <w:rFonts w:ascii="Times New Roman" w:hAnsi="Times New Roman" w:cs="Times New Roman"/>
          <w:sz w:val="24"/>
          <w:szCs w:val="24"/>
        </w:rPr>
        <w:tab/>
      </w:r>
      <w:r w:rsidR="00D14D8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7</w:t>
      </w:r>
    </w:p>
    <w:p w14:paraId="5E1D0682" w14:textId="77777777" w:rsidR="0027010F" w:rsidRDefault="0027010F" w:rsidP="0027010F">
      <w:pPr>
        <w:pStyle w:val="NoSpacing"/>
        <w:rPr>
          <w:rFonts w:ascii="Times New Roman" w:hAnsi="Times New Roman" w:cs="Times New Roman"/>
          <w:sz w:val="24"/>
          <w:szCs w:val="24"/>
        </w:rPr>
      </w:pPr>
    </w:p>
    <w:p w14:paraId="1A8F88C3" w14:textId="77777777" w:rsidR="0027010F" w:rsidRPr="003C2595" w:rsidRDefault="0027010F" w:rsidP="0027010F">
      <w:pPr>
        <w:pStyle w:val="NoSpacing"/>
        <w:rPr>
          <w:rFonts w:ascii="Times New Roman" w:hAnsi="Times New Roman" w:cs="Times New Roman"/>
          <w:sz w:val="28"/>
          <w:szCs w:val="28"/>
        </w:rPr>
      </w:pPr>
      <w:r>
        <w:rPr>
          <w:rFonts w:ascii="Times New Roman" w:hAnsi="Times New Roman" w:cs="Times New Roman"/>
          <w:sz w:val="24"/>
          <w:szCs w:val="24"/>
        </w:rPr>
        <w:tab/>
      </w:r>
    </w:p>
    <w:p w14:paraId="0F7E6B06" w14:textId="77777777" w:rsidR="0027010F" w:rsidRPr="003C2595" w:rsidRDefault="0027010F" w:rsidP="0027010F">
      <w:pPr>
        <w:pStyle w:val="NoSpacing"/>
        <w:rPr>
          <w:rFonts w:ascii="Times New Roman" w:hAnsi="Times New Roman" w:cs="Times New Roman"/>
          <w:b/>
          <w:sz w:val="28"/>
          <w:szCs w:val="28"/>
        </w:rPr>
      </w:pPr>
      <w:r w:rsidRPr="003C2595">
        <w:rPr>
          <w:rFonts w:ascii="Times New Roman" w:hAnsi="Times New Roman" w:cs="Times New Roman"/>
          <w:b/>
          <w:sz w:val="28"/>
          <w:szCs w:val="28"/>
        </w:rPr>
        <w:t>Higher Education</w:t>
      </w:r>
    </w:p>
    <w:p w14:paraId="7FDC71E9" w14:textId="77777777" w:rsidR="0027010F" w:rsidRDefault="0027010F" w:rsidP="0027010F">
      <w:pPr>
        <w:pStyle w:val="NoSpacing"/>
        <w:rPr>
          <w:rFonts w:ascii="Times New Roman" w:hAnsi="Times New Roman" w:cs="Times New Roman"/>
          <w:sz w:val="24"/>
          <w:szCs w:val="24"/>
        </w:rPr>
      </w:pPr>
    </w:p>
    <w:p w14:paraId="470AE258" w14:textId="4B143E1B"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t>Bills adopted by the General Assembly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607382">
        <w:rPr>
          <w:rFonts w:ascii="Times New Roman" w:hAnsi="Times New Roman" w:cs="Times New Roman"/>
          <w:sz w:val="24"/>
          <w:szCs w:val="24"/>
        </w:rPr>
        <w:t>9</w:t>
      </w:r>
    </w:p>
    <w:p w14:paraId="079A16A0" w14:textId="77777777" w:rsidR="0027010F" w:rsidRDefault="0027010F" w:rsidP="0027010F">
      <w:pPr>
        <w:pStyle w:val="NoSpacing"/>
        <w:rPr>
          <w:rFonts w:ascii="Times New Roman" w:hAnsi="Times New Roman" w:cs="Times New Roman"/>
          <w:sz w:val="24"/>
          <w:szCs w:val="24"/>
        </w:rPr>
      </w:pPr>
    </w:p>
    <w:p w14:paraId="3D62A4A2" w14:textId="1B55D56F"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r>
      <w:bookmarkStart w:id="1" w:name="_Hlk135297093"/>
      <w:r>
        <w:rPr>
          <w:rFonts w:ascii="Times New Roman" w:hAnsi="Times New Roman" w:cs="Times New Roman"/>
          <w:sz w:val="24"/>
          <w:szCs w:val="24"/>
        </w:rPr>
        <w:t>Bills adopted by the House and Awaiting Senate Action</w:t>
      </w:r>
      <w:bookmarkEnd w:id="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607382">
        <w:rPr>
          <w:rFonts w:ascii="Times New Roman" w:hAnsi="Times New Roman" w:cs="Times New Roman"/>
          <w:sz w:val="24"/>
          <w:szCs w:val="24"/>
        </w:rPr>
        <w:t>9</w:t>
      </w:r>
    </w:p>
    <w:p w14:paraId="0C52B0A6" w14:textId="77777777" w:rsidR="0027010F" w:rsidRDefault="0027010F" w:rsidP="0027010F">
      <w:pPr>
        <w:pStyle w:val="NoSpacing"/>
        <w:rPr>
          <w:rFonts w:ascii="Times New Roman" w:hAnsi="Times New Roman" w:cs="Times New Roman"/>
          <w:sz w:val="24"/>
          <w:szCs w:val="24"/>
        </w:rPr>
      </w:pPr>
    </w:p>
    <w:p w14:paraId="5B4F82F4" w14:textId="77777777"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r>
    </w:p>
    <w:p w14:paraId="145FC2C1" w14:textId="77777777" w:rsidR="0027010F" w:rsidRPr="003C2595" w:rsidRDefault="0027010F" w:rsidP="0027010F">
      <w:pPr>
        <w:pStyle w:val="NoSpacing"/>
        <w:rPr>
          <w:rFonts w:ascii="Times New Roman" w:hAnsi="Times New Roman" w:cs="Times New Roman"/>
          <w:b/>
          <w:sz w:val="28"/>
          <w:szCs w:val="28"/>
        </w:rPr>
      </w:pPr>
      <w:r w:rsidRPr="003C2595">
        <w:rPr>
          <w:rFonts w:ascii="Times New Roman" w:hAnsi="Times New Roman" w:cs="Times New Roman"/>
          <w:b/>
          <w:sz w:val="28"/>
          <w:szCs w:val="28"/>
        </w:rPr>
        <w:t>Motor Vehicles</w:t>
      </w:r>
    </w:p>
    <w:p w14:paraId="38BF201C" w14:textId="77777777" w:rsidR="0027010F" w:rsidRDefault="0027010F" w:rsidP="0027010F">
      <w:pPr>
        <w:pStyle w:val="NoSpacing"/>
        <w:rPr>
          <w:rFonts w:ascii="Times New Roman" w:hAnsi="Times New Roman" w:cs="Times New Roman"/>
          <w:sz w:val="24"/>
          <w:szCs w:val="24"/>
        </w:rPr>
      </w:pPr>
    </w:p>
    <w:p w14:paraId="7E5B1BEB" w14:textId="0FB4C109"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t>Bills adopted by the General Assembly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607382">
        <w:rPr>
          <w:rFonts w:ascii="Times New Roman" w:hAnsi="Times New Roman" w:cs="Times New Roman"/>
          <w:sz w:val="24"/>
          <w:szCs w:val="24"/>
        </w:rPr>
        <w:t>9</w:t>
      </w:r>
    </w:p>
    <w:p w14:paraId="24DD63FE" w14:textId="77777777" w:rsidR="00533B19" w:rsidRDefault="00533B19" w:rsidP="0027010F">
      <w:pPr>
        <w:pStyle w:val="NoSpacing"/>
        <w:rPr>
          <w:rFonts w:ascii="Times New Roman" w:hAnsi="Times New Roman" w:cs="Times New Roman"/>
          <w:sz w:val="24"/>
          <w:szCs w:val="24"/>
        </w:rPr>
      </w:pPr>
    </w:p>
    <w:p w14:paraId="084AF532" w14:textId="4BEA30C1"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r>
      <w:r w:rsidRPr="003532B2">
        <w:rPr>
          <w:rFonts w:ascii="Times New Roman" w:hAnsi="Times New Roman" w:cs="Times New Roman"/>
          <w:sz w:val="24"/>
          <w:szCs w:val="24"/>
        </w:rPr>
        <w:t>Bills adopted by the House and Awaiting Senate Action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1</w:t>
      </w:r>
      <w:r w:rsidR="00607382">
        <w:rPr>
          <w:rFonts w:ascii="Times New Roman" w:hAnsi="Times New Roman" w:cs="Times New Roman"/>
          <w:sz w:val="24"/>
          <w:szCs w:val="24"/>
        </w:rPr>
        <w:t>1</w:t>
      </w:r>
    </w:p>
    <w:p w14:paraId="3EAD2527" w14:textId="77777777" w:rsidR="0027010F" w:rsidRDefault="0027010F" w:rsidP="0027010F">
      <w:pPr>
        <w:pStyle w:val="NoSpacing"/>
        <w:rPr>
          <w:rFonts w:ascii="Times New Roman" w:hAnsi="Times New Roman" w:cs="Times New Roman"/>
          <w:sz w:val="24"/>
          <w:szCs w:val="24"/>
        </w:rPr>
      </w:pPr>
    </w:p>
    <w:p w14:paraId="13772688" w14:textId="77777777" w:rsidR="0027010F" w:rsidRPr="003C2595" w:rsidRDefault="0027010F" w:rsidP="0027010F">
      <w:pPr>
        <w:pStyle w:val="NoSpacing"/>
        <w:rPr>
          <w:rFonts w:ascii="Times New Roman" w:hAnsi="Times New Roman" w:cs="Times New Roman"/>
          <w:b/>
          <w:sz w:val="28"/>
          <w:szCs w:val="28"/>
        </w:rPr>
      </w:pPr>
      <w:r w:rsidRPr="003C2595">
        <w:rPr>
          <w:rFonts w:ascii="Times New Roman" w:hAnsi="Times New Roman" w:cs="Times New Roman"/>
          <w:b/>
          <w:sz w:val="28"/>
          <w:szCs w:val="28"/>
        </w:rPr>
        <w:t>Transportation</w:t>
      </w:r>
    </w:p>
    <w:p w14:paraId="5D0DEF52" w14:textId="77777777" w:rsidR="0027010F" w:rsidRDefault="0027010F" w:rsidP="0027010F">
      <w:pPr>
        <w:pStyle w:val="NoSpacing"/>
        <w:rPr>
          <w:rFonts w:ascii="Times New Roman" w:hAnsi="Times New Roman" w:cs="Times New Roman"/>
          <w:sz w:val="24"/>
          <w:szCs w:val="24"/>
        </w:rPr>
      </w:pPr>
    </w:p>
    <w:p w14:paraId="7AA2F44D" w14:textId="00471CA6"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t>Bills adopted by the General Assembly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1</w:t>
      </w:r>
      <w:r w:rsidR="00607382">
        <w:rPr>
          <w:rFonts w:ascii="Times New Roman" w:hAnsi="Times New Roman" w:cs="Times New Roman"/>
          <w:sz w:val="24"/>
          <w:szCs w:val="24"/>
        </w:rPr>
        <w:t>3</w:t>
      </w:r>
    </w:p>
    <w:p w14:paraId="5883342B" w14:textId="77777777" w:rsidR="0027010F" w:rsidRDefault="0027010F" w:rsidP="0027010F">
      <w:pPr>
        <w:pStyle w:val="NoSpacing"/>
        <w:rPr>
          <w:rFonts w:ascii="Times New Roman" w:hAnsi="Times New Roman" w:cs="Times New Roman"/>
          <w:sz w:val="24"/>
          <w:szCs w:val="24"/>
        </w:rPr>
      </w:pPr>
    </w:p>
    <w:p w14:paraId="3C753BC0" w14:textId="266675DE" w:rsidR="0027010F" w:rsidRDefault="0027010F" w:rsidP="0027010F">
      <w:pPr>
        <w:pStyle w:val="NoSpacing"/>
        <w:ind w:left="720"/>
        <w:rPr>
          <w:rFonts w:ascii="Times New Roman" w:hAnsi="Times New Roman" w:cs="Times New Roman"/>
          <w:sz w:val="24"/>
          <w:szCs w:val="24"/>
        </w:rPr>
      </w:pPr>
      <w:r w:rsidRPr="003532B2">
        <w:rPr>
          <w:rFonts w:ascii="Times New Roman" w:hAnsi="Times New Roman" w:cs="Times New Roman"/>
          <w:sz w:val="24"/>
          <w:szCs w:val="24"/>
        </w:rPr>
        <w:t>Bills adopted by the House and Awaiting Senate Action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1</w:t>
      </w:r>
      <w:r w:rsidR="00607382">
        <w:rPr>
          <w:rFonts w:ascii="Times New Roman" w:hAnsi="Times New Roman" w:cs="Times New Roman"/>
          <w:sz w:val="24"/>
          <w:szCs w:val="24"/>
        </w:rPr>
        <w:t>3</w:t>
      </w:r>
    </w:p>
    <w:p w14:paraId="7881FE54" w14:textId="77777777" w:rsidR="0027010F" w:rsidRDefault="0027010F" w:rsidP="0027010F">
      <w:pPr>
        <w:pStyle w:val="NoSpacing"/>
        <w:ind w:left="720"/>
        <w:rPr>
          <w:rFonts w:ascii="Times New Roman" w:hAnsi="Times New Roman" w:cs="Times New Roman"/>
          <w:sz w:val="24"/>
          <w:szCs w:val="24"/>
        </w:rPr>
      </w:pPr>
    </w:p>
    <w:p w14:paraId="2E06C498" w14:textId="77777777" w:rsidR="0027010F" w:rsidRPr="003C2595" w:rsidRDefault="0027010F" w:rsidP="0027010F">
      <w:pPr>
        <w:pStyle w:val="NoSpacing"/>
        <w:rPr>
          <w:rFonts w:ascii="Times New Roman" w:hAnsi="Times New Roman" w:cs="Times New Roman"/>
          <w:sz w:val="28"/>
          <w:szCs w:val="28"/>
        </w:rPr>
      </w:pPr>
    </w:p>
    <w:p w14:paraId="54B0BA3C" w14:textId="6602744B" w:rsidR="0027010F" w:rsidRDefault="0027010F" w:rsidP="0027010F">
      <w:pPr>
        <w:pStyle w:val="NoSpacing"/>
        <w:rPr>
          <w:rFonts w:ascii="Times New Roman" w:hAnsi="Times New Roman" w:cs="Times New Roman"/>
          <w:sz w:val="24"/>
          <w:szCs w:val="24"/>
        </w:rPr>
      </w:pPr>
      <w:r w:rsidRPr="003C2595">
        <w:rPr>
          <w:rFonts w:ascii="Times New Roman" w:hAnsi="Times New Roman" w:cs="Times New Roman"/>
          <w:b/>
          <w:sz w:val="28"/>
          <w:szCs w:val="28"/>
        </w:rPr>
        <w:t>Appendix</w:t>
      </w:r>
      <w:r w:rsidRPr="003C2595">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1</w:t>
      </w:r>
      <w:r w:rsidR="00607382">
        <w:rPr>
          <w:rFonts w:ascii="Times New Roman" w:hAnsi="Times New Roman" w:cs="Times New Roman"/>
          <w:sz w:val="24"/>
          <w:szCs w:val="24"/>
        </w:rPr>
        <w:t>4</w:t>
      </w:r>
    </w:p>
    <w:p w14:paraId="56335ED2" w14:textId="7E971F31" w:rsidR="0027010F" w:rsidRDefault="0027010F">
      <w:pPr>
        <w:rPr>
          <w:b/>
          <w:sz w:val="36"/>
          <w:szCs w:val="44"/>
        </w:rPr>
      </w:pPr>
    </w:p>
    <w:p w14:paraId="06948A39" w14:textId="0B876415" w:rsidR="0027010F" w:rsidRDefault="0027010F">
      <w:pPr>
        <w:rPr>
          <w:b/>
          <w:sz w:val="36"/>
          <w:szCs w:val="44"/>
        </w:rPr>
      </w:pPr>
    </w:p>
    <w:p w14:paraId="64173605" w14:textId="69804717" w:rsidR="0027010F" w:rsidRDefault="0027010F">
      <w:pPr>
        <w:rPr>
          <w:b/>
          <w:sz w:val="36"/>
          <w:szCs w:val="44"/>
        </w:rPr>
      </w:pPr>
    </w:p>
    <w:p w14:paraId="79341F0F" w14:textId="5F987D41" w:rsidR="0027010F" w:rsidRDefault="0027010F">
      <w:pPr>
        <w:rPr>
          <w:b/>
          <w:sz w:val="36"/>
          <w:szCs w:val="44"/>
        </w:rPr>
      </w:pPr>
    </w:p>
    <w:p w14:paraId="138461E2" w14:textId="77777777" w:rsidR="00434725" w:rsidRDefault="00434725">
      <w:pPr>
        <w:rPr>
          <w:b/>
          <w:sz w:val="36"/>
          <w:szCs w:val="44"/>
        </w:rPr>
        <w:sectPr w:rsidR="00434725" w:rsidSect="0043472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docGrid w:linePitch="360"/>
        </w:sectPr>
      </w:pPr>
    </w:p>
    <w:p w14:paraId="25386A54" w14:textId="38C0C431" w:rsidR="008C4DDF" w:rsidRDefault="008C4DDF" w:rsidP="008C4DDF">
      <w:pPr>
        <w:jc w:val="center"/>
        <w:rPr>
          <w:b/>
          <w:sz w:val="36"/>
          <w:szCs w:val="44"/>
        </w:rPr>
      </w:pPr>
      <w:r>
        <w:rPr>
          <w:b/>
          <w:noProof/>
          <w:sz w:val="36"/>
          <w:szCs w:val="44"/>
        </w:rPr>
        <w:lastRenderedPageBreak/>
        <w:drawing>
          <wp:inline distT="0" distB="0" distL="0" distR="0" wp14:anchorId="4066A424" wp14:editId="3CB3D611">
            <wp:extent cx="1485900" cy="1390650"/>
            <wp:effectExtent l="0" t="0" r="0" b="0"/>
            <wp:docPr id="1" name="Picture 1" descr="A picture containing text, emblem, trademar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mblem, trademar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390650"/>
                    </a:xfrm>
                    <a:prstGeom prst="rect">
                      <a:avLst/>
                    </a:prstGeom>
                  </pic:spPr>
                </pic:pic>
              </a:graphicData>
            </a:graphic>
          </wp:inline>
        </w:drawing>
      </w:r>
      <w:bookmarkStart w:id="2" w:name="_Hlk135297213"/>
    </w:p>
    <w:p w14:paraId="0053D13E" w14:textId="77777777" w:rsidR="008C4DDF" w:rsidRDefault="008C4DDF" w:rsidP="008C4DDF">
      <w:pPr>
        <w:jc w:val="center"/>
        <w:rPr>
          <w:b/>
          <w:sz w:val="36"/>
          <w:szCs w:val="44"/>
        </w:rPr>
      </w:pPr>
      <w:r>
        <w:rPr>
          <w:b/>
          <w:sz w:val="36"/>
          <w:szCs w:val="44"/>
        </w:rPr>
        <w:t xml:space="preserve"> </w:t>
      </w:r>
      <w:r w:rsidRPr="00D4539A">
        <w:rPr>
          <w:b/>
          <w:sz w:val="36"/>
          <w:szCs w:val="44"/>
        </w:rPr>
        <w:t>House Education and Public Works Committee</w:t>
      </w:r>
    </w:p>
    <w:p w14:paraId="2A8ED7E5" w14:textId="77777777" w:rsidR="008C4DDF" w:rsidRPr="00D4539A" w:rsidRDefault="008C4DDF" w:rsidP="008C4DDF">
      <w:pPr>
        <w:jc w:val="center"/>
        <w:rPr>
          <w:sz w:val="32"/>
          <w:szCs w:val="40"/>
        </w:rPr>
      </w:pPr>
      <w:r w:rsidRPr="00D4539A">
        <w:rPr>
          <w:sz w:val="32"/>
          <w:szCs w:val="40"/>
        </w:rPr>
        <w:t>Status of Bills Acted Upon by the Committee</w:t>
      </w:r>
    </w:p>
    <w:p w14:paraId="44FD31A7" w14:textId="4918974D" w:rsidR="008C4DDF" w:rsidRDefault="008C4DDF" w:rsidP="008C4DDF">
      <w:pPr>
        <w:jc w:val="center"/>
        <w:rPr>
          <w:sz w:val="32"/>
          <w:szCs w:val="40"/>
        </w:rPr>
      </w:pPr>
      <w:r w:rsidRPr="00D4539A">
        <w:rPr>
          <w:sz w:val="32"/>
          <w:szCs w:val="40"/>
        </w:rPr>
        <w:t>(</w:t>
      </w:r>
      <w:r>
        <w:rPr>
          <w:sz w:val="32"/>
          <w:szCs w:val="40"/>
        </w:rPr>
        <w:t>2023</w:t>
      </w:r>
      <w:r w:rsidRPr="00D4539A">
        <w:rPr>
          <w:sz w:val="32"/>
          <w:szCs w:val="40"/>
        </w:rPr>
        <w:t xml:space="preserve"> Legislative Session)</w:t>
      </w:r>
    </w:p>
    <w:p w14:paraId="63EA582A" w14:textId="65A8EFC3" w:rsidR="008C4DDF" w:rsidRPr="00A8563D" w:rsidRDefault="008C4DDF" w:rsidP="00D4539A">
      <w:pPr>
        <w:rPr>
          <w:b/>
          <w:sz w:val="24"/>
          <w:szCs w:val="24"/>
          <w:u w:val="single"/>
        </w:rPr>
      </w:pPr>
    </w:p>
    <w:p w14:paraId="00D973B2" w14:textId="0C5309F4" w:rsidR="00D4539A" w:rsidRDefault="00D4539A" w:rsidP="00D4539A">
      <w:pPr>
        <w:rPr>
          <w:b/>
          <w:sz w:val="32"/>
          <w:szCs w:val="32"/>
          <w:u w:val="single"/>
        </w:rPr>
      </w:pPr>
      <w:r>
        <w:rPr>
          <w:b/>
          <w:sz w:val="32"/>
          <w:szCs w:val="32"/>
          <w:u w:val="single"/>
        </w:rPr>
        <w:t>K-12</w:t>
      </w:r>
      <w:r w:rsidR="00034D03">
        <w:rPr>
          <w:b/>
          <w:sz w:val="32"/>
          <w:szCs w:val="32"/>
          <w:u w:val="single"/>
        </w:rPr>
        <w:t xml:space="preserve"> Subcommittee</w:t>
      </w:r>
      <w:r>
        <w:rPr>
          <w:b/>
          <w:sz w:val="32"/>
          <w:szCs w:val="32"/>
          <w:u w:val="single"/>
        </w:rPr>
        <w:t xml:space="preserve"> </w:t>
      </w:r>
    </w:p>
    <w:p w14:paraId="3138348E" w14:textId="77777777" w:rsidR="006C0458" w:rsidRDefault="006C0458" w:rsidP="00D4539A">
      <w:pPr>
        <w:rPr>
          <w:b/>
          <w:sz w:val="32"/>
          <w:szCs w:val="32"/>
          <w:u w:val="single"/>
        </w:rPr>
      </w:pPr>
    </w:p>
    <w:p w14:paraId="5444EA9A" w14:textId="77777777" w:rsidR="00D4539A" w:rsidRDefault="00D4539A" w:rsidP="00D4539A">
      <w:pPr>
        <w:jc w:val="center"/>
        <w:rPr>
          <w:sz w:val="24"/>
          <w:szCs w:val="24"/>
          <w:u w:val="single"/>
        </w:rPr>
      </w:pPr>
      <w:bookmarkStart w:id="3" w:name="_Hlk138676309"/>
      <w:r>
        <w:rPr>
          <w:sz w:val="24"/>
          <w:szCs w:val="24"/>
          <w:u w:val="single"/>
        </w:rPr>
        <w:t>BILLS ADOPTED BY THE GENERAL ASSEMBLY</w:t>
      </w:r>
    </w:p>
    <w:bookmarkEnd w:id="3"/>
    <w:p w14:paraId="72E8F211" w14:textId="569F4187" w:rsidR="00D4539A" w:rsidRDefault="00D4539A" w:rsidP="00D4539A">
      <w:pPr>
        <w:rPr>
          <w:sz w:val="24"/>
          <w:szCs w:val="24"/>
          <w:u w:val="single"/>
        </w:rPr>
      </w:pPr>
    </w:p>
    <w:p w14:paraId="47AB851E" w14:textId="3A114380" w:rsidR="00753DAB" w:rsidRPr="00A30ECB" w:rsidRDefault="00753DAB" w:rsidP="00E90E65">
      <w:pPr>
        <w:pStyle w:val="ListParagraph"/>
        <w:numPr>
          <w:ilvl w:val="0"/>
          <w:numId w:val="19"/>
        </w:numPr>
        <w:rPr>
          <w:rFonts w:cs="Times New Roman"/>
          <w:sz w:val="24"/>
          <w:szCs w:val="24"/>
        </w:rPr>
      </w:pPr>
      <w:r w:rsidRPr="00A30ECB">
        <w:rPr>
          <w:rFonts w:cs="Times New Roman"/>
          <w:b/>
          <w:bCs/>
          <w:sz w:val="24"/>
          <w:szCs w:val="24"/>
        </w:rPr>
        <w:t xml:space="preserve">Act 8 (Senate bill 39) </w:t>
      </w:r>
      <w:r w:rsidRPr="00A30ECB">
        <w:rPr>
          <w:rFonts w:cs="Times New Roman"/>
          <w:sz w:val="24"/>
          <w:szCs w:val="24"/>
        </w:rPr>
        <w:t xml:space="preserve">establishes the </w:t>
      </w:r>
      <w:r w:rsidRPr="00391B5A">
        <w:rPr>
          <w:rFonts w:cs="Times New Roman"/>
          <w:sz w:val="24"/>
          <w:szCs w:val="24"/>
        </w:rPr>
        <w:t>"Education Scholarship Trust Fund (</w:t>
      </w:r>
      <w:proofErr w:type="spellStart"/>
      <w:r w:rsidRPr="00391B5A">
        <w:rPr>
          <w:rFonts w:cs="Times New Roman"/>
          <w:sz w:val="24"/>
          <w:szCs w:val="24"/>
        </w:rPr>
        <w:t>ESTF</w:t>
      </w:r>
      <w:proofErr w:type="spellEnd"/>
      <w:r w:rsidRPr="00391B5A">
        <w:rPr>
          <w:rFonts w:cs="Times New Roman"/>
          <w:sz w:val="24"/>
          <w:szCs w:val="24"/>
        </w:rPr>
        <w:t>)."</w:t>
      </w:r>
      <w:r w:rsidRPr="00A30ECB">
        <w:rPr>
          <w:rFonts w:cs="Times New Roman"/>
          <w:sz w:val="24"/>
          <w:szCs w:val="24"/>
        </w:rPr>
        <w:t xml:space="preserve"> Eligible elementary and secondary students may be awarded scholarships in the amount of $6,000 to pay for education expenses.  Expenses may include, among other items, tuition and fees, instructional materials, tutoring, computer hardware, assessments, and transportation (not to exceed $750 per year).</w:t>
      </w:r>
    </w:p>
    <w:p w14:paraId="435765DC" w14:textId="77777777" w:rsidR="00A30ECB" w:rsidRPr="00A30ECB" w:rsidRDefault="00A30ECB" w:rsidP="00753DAB">
      <w:pPr>
        <w:rPr>
          <w:rFonts w:cs="Times New Roman"/>
          <w:sz w:val="24"/>
          <w:szCs w:val="24"/>
        </w:rPr>
      </w:pPr>
    </w:p>
    <w:p w14:paraId="1A1EBD4C" w14:textId="77777777" w:rsidR="00753DAB" w:rsidRPr="00A30ECB" w:rsidRDefault="00753DAB" w:rsidP="00A30ECB">
      <w:pPr>
        <w:ind w:left="360"/>
        <w:rPr>
          <w:rFonts w:cs="Times New Roman"/>
          <w:sz w:val="24"/>
          <w:szCs w:val="24"/>
        </w:rPr>
      </w:pPr>
      <w:r w:rsidRPr="00A30ECB">
        <w:rPr>
          <w:rFonts w:cs="Times New Roman"/>
          <w:sz w:val="24"/>
          <w:szCs w:val="24"/>
        </w:rPr>
        <w:t>Public and independent schools may accept scholarship funds, but charter schools and home-schooled students are excluded. Eligible students must reside in the state and have attended a public school in the state during the previous school year or received a scholarship the previous school year.  Families must meet a specified percentage of the federal poverty guidelines to qualify:</w:t>
      </w:r>
    </w:p>
    <w:p w14:paraId="2850C794" w14:textId="77777777" w:rsidR="00753DAB" w:rsidRPr="00A30ECB" w:rsidRDefault="00753DAB" w:rsidP="00E90E65">
      <w:pPr>
        <w:pStyle w:val="ListParagraph"/>
        <w:numPr>
          <w:ilvl w:val="0"/>
          <w:numId w:val="20"/>
        </w:numPr>
        <w:spacing w:after="200" w:line="276" w:lineRule="auto"/>
        <w:rPr>
          <w:rFonts w:cs="Times New Roman"/>
          <w:sz w:val="24"/>
          <w:szCs w:val="24"/>
        </w:rPr>
      </w:pPr>
      <w:r w:rsidRPr="00A30ECB">
        <w:rPr>
          <w:rFonts w:cs="Times New Roman"/>
          <w:sz w:val="24"/>
          <w:szCs w:val="24"/>
        </w:rPr>
        <w:t xml:space="preserve">200 percent of the federal poverty guidelines for the 2024-25 school </w:t>
      </w:r>
      <w:proofErr w:type="gramStart"/>
      <w:r w:rsidRPr="00A30ECB">
        <w:rPr>
          <w:rFonts w:cs="Times New Roman"/>
          <w:sz w:val="24"/>
          <w:szCs w:val="24"/>
        </w:rPr>
        <w:t>year;</w:t>
      </w:r>
      <w:proofErr w:type="gramEnd"/>
    </w:p>
    <w:p w14:paraId="3E0550BB" w14:textId="77777777" w:rsidR="00753DAB" w:rsidRPr="00A30ECB" w:rsidRDefault="00753DAB" w:rsidP="00E90E65">
      <w:pPr>
        <w:pStyle w:val="ListParagraph"/>
        <w:numPr>
          <w:ilvl w:val="0"/>
          <w:numId w:val="20"/>
        </w:numPr>
        <w:spacing w:after="200" w:line="276" w:lineRule="auto"/>
        <w:rPr>
          <w:rFonts w:cs="Times New Roman"/>
          <w:sz w:val="24"/>
          <w:szCs w:val="24"/>
        </w:rPr>
      </w:pPr>
      <w:r w:rsidRPr="00A30ECB">
        <w:rPr>
          <w:rFonts w:cs="Times New Roman"/>
          <w:sz w:val="24"/>
          <w:szCs w:val="24"/>
        </w:rPr>
        <w:t xml:space="preserve">300 percent of the federal poverty guidelines for the 2025-26 school </w:t>
      </w:r>
      <w:proofErr w:type="gramStart"/>
      <w:r w:rsidRPr="00A30ECB">
        <w:rPr>
          <w:rFonts w:cs="Times New Roman"/>
          <w:sz w:val="24"/>
          <w:szCs w:val="24"/>
        </w:rPr>
        <w:t>year;</w:t>
      </w:r>
      <w:proofErr w:type="gramEnd"/>
    </w:p>
    <w:p w14:paraId="6CF6F936" w14:textId="5A18AFCE" w:rsidR="00753DAB" w:rsidRPr="00A30ECB" w:rsidRDefault="00753DAB" w:rsidP="00E90E65">
      <w:pPr>
        <w:pStyle w:val="ListParagraph"/>
        <w:numPr>
          <w:ilvl w:val="0"/>
          <w:numId w:val="20"/>
        </w:numPr>
        <w:spacing w:after="200" w:line="276" w:lineRule="auto"/>
        <w:rPr>
          <w:rFonts w:cs="Times New Roman"/>
          <w:sz w:val="24"/>
          <w:szCs w:val="24"/>
        </w:rPr>
      </w:pPr>
      <w:r w:rsidRPr="00A30ECB">
        <w:rPr>
          <w:rFonts w:cs="Times New Roman"/>
          <w:sz w:val="24"/>
          <w:szCs w:val="24"/>
        </w:rPr>
        <w:t>400 percent of the federal poverty guidelines for the 2026-27 school year and subsequent years.</w:t>
      </w:r>
    </w:p>
    <w:p w14:paraId="59C3804E" w14:textId="77777777" w:rsidR="00753DAB" w:rsidRPr="00A30ECB" w:rsidRDefault="00753DAB" w:rsidP="00A30ECB">
      <w:pPr>
        <w:ind w:left="360"/>
        <w:rPr>
          <w:rFonts w:cs="Times New Roman"/>
          <w:sz w:val="24"/>
          <w:szCs w:val="24"/>
        </w:rPr>
      </w:pPr>
      <w:r w:rsidRPr="00A30ECB">
        <w:rPr>
          <w:rFonts w:cs="Times New Roman"/>
          <w:sz w:val="24"/>
          <w:szCs w:val="24"/>
        </w:rPr>
        <w:t xml:space="preserve">The bill establishes a cap in the number of students who may participate in the </w:t>
      </w:r>
      <w:proofErr w:type="spellStart"/>
      <w:r w:rsidRPr="00A30ECB">
        <w:rPr>
          <w:rFonts w:cs="Times New Roman"/>
          <w:sz w:val="24"/>
          <w:szCs w:val="24"/>
        </w:rPr>
        <w:t>ESTF</w:t>
      </w:r>
      <w:proofErr w:type="spellEnd"/>
      <w:r w:rsidRPr="00A30ECB">
        <w:rPr>
          <w:rFonts w:cs="Times New Roman"/>
          <w:sz w:val="24"/>
          <w:szCs w:val="24"/>
        </w:rPr>
        <w:t>:</w:t>
      </w:r>
    </w:p>
    <w:p w14:paraId="3C1E1B8F" w14:textId="77777777" w:rsidR="00753DAB" w:rsidRPr="00A30ECB" w:rsidRDefault="00753DAB" w:rsidP="00E90E65">
      <w:pPr>
        <w:pStyle w:val="ListParagraph"/>
        <w:numPr>
          <w:ilvl w:val="0"/>
          <w:numId w:val="18"/>
        </w:numPr>
        <w:spacing w:after="200" w:line="276" w:lineRule="auto"/>
        <w:ind w:left="720"/>
        <w:rPr>
          <w:rFonts w:cs="Times New Roman"/>
          <w:sz w:val="24"/>
          <w:szCs w:val="24"/>
        </w:rPr>
      </w:pPr>
      <w:r w:rsidRPr="00A30ECB">
        <w:rPr>
          <w:rFonts w:cs="Times New Roman"/>
          <w:sz w:val="24"/>
          <w:szCs w:val="24"/>
        </w:rPr>
        <w:t xml:space="preserve">A maximum of 5,000 students may participate in the 2024-25 school </w:t>
      </w:r>
      <w:proofErr w:type="gramStart"/>
      <w:r w:rsidRPr="00A30ECB">
        <w:rPr>
          <w:rFonts w:cs="Times New Roman"/>
          <w:sz w:val="24"/>
          <w:szCs w:val="24"/>
        </w:rPr>
        <w:t>year;</w:t>
      </w:r>
      <w:proofErr w:type="gramEnd"/>
    </w:p>
    <w:p w14:paraId="6A141403" w14:textId="77777777" w:rsidR="00753DAB" w:rsidRPr="00A30ECB" w:rsidRDefault="00753DAB" w:rsidP="00E90E65">
      <w:pPr>
        <w:pStyle w:val="ListParagraph"/>
        <w:numPr>
          <w:ilvl w:val="0"/>
          <w:numId w:val="18"/>
        </w:numPr>
        <w:spacing w:after="200" w:line="276" w:lineRule="auto"/>
        <w:ind w:left="720"/>
        <w:rPr>
          <w:rFonts w:cs="Times New Roman"/>
          <w:sz w:val="24"/>
          <w:szCs w:val="24"/>
        </w:rPr>
      </w:pPr>
      <w:r w:rsidRPr="00A30ECB">
        <w:rPr>
          <w:rFonts w:cs="Times New Roman"/>
          <w:sz w:val="24"/>
          <w:szCs w:val="24"/>
        </w:rPr>
        <w:t>A maximum of 10,000 students may participate in 2025-26 school year; and,</w:t>
      </w:r>
    </w:p>
    <w:p w14:paraId="1F50B9D8" w14:textId="310251F1" w:rsidR="00753DAB" w:rsidRPr="00A30ECB" w:rsidRDefault="00753DAB" w:rsidP="00E90E65">
      <w:pPr>
        <w:pStyle w:val="ListParagraph"/>
        <w:numPr>
          <w:ilvl w:val="0"/>
          <w:numId w:val="18"/>
        </w:numPr>
        <w:spacing w:after="200" w:line="276" w:lineRule="auto"/>
        <w:ind w:left="720"/>
        <w:rPr>
          <w:rFonts w:cs="Times New Roman"/>
          <w:sz w:val="24"/>
          <w:szCs w:val="24"/>
        </w:rPr>
      </w:pPr>
      <w:r w:rsidRPr="00A30ECB">
        <w:rPr>
          <w:rFonts w:cs="Times New Roman"/>
          <w:sz w:val="24"/>
          <w:szCs w:val="24"/>
        </w:rPr>
        <w:t>A maximum of 15,000 students may participate in the 2026-27 school year and all subsequent years.</w:t>
      </w:r>
    </w:p>
    <w:p w14:paraId="60D5E60B" w14:textId="6A3B9F16" w:rsidR="00753DAB" w:rsidRPr="00A30ECB" w:rsidRDefault="00753DAB" w:rsidP="00A30ECB">
      <w:pPr>
        <w:ind w:left="360"/>
        <w:rPr>
          <w:rFonts w:cs="Times New Roman"/>
          <w:sz w:val="24"/>
          <w:szCs w:val="24"/>
        </w:rPr>
      </w:pPr>
      <w:r w:rsidRPr="00A30ECB">
        <w:rPr>
          <w:rFonts w:cs="Times New Roman"/>
          <w:sz w:val="24"/>
          <w:szCs w:val="24"/>
        </w:rPr>
        <w:t>The State Department of Education (</w:t>
      </w:r>
      <w:proofErr w:type="spellStart"/>
      <w:r w:rsidRPr="00A30ECB">
        <w:rPr>
          <w:rFonts w:cs="Times New Roman"/>
          <w:sz w:val="24"/>
          <w:szCs w:val="24"/>
        </w:rPr>
        <w:t>SDE</w:t>
      </w:r>
      <w:proofErr w:type="spellEnd"/>
      <w:r w:rsidRPr="00A30ECB">
        <w:rPr>
          <w:rFonts w:cs="Times New Roman"/>
          <w:sz w:val="24"/>
          <w:szCs w:val="24"/>
        </w:rPr>
        <w:t>) must create an application process for the Fund, determine student eligibility, and inform students and parents about eligibility and providers.  Before receiving funds, parents or guardians must agree to provide instruction in at least English/language arts, mathematics, social studies, and science.  Participating independent schools</w:t>
      </w:r>
      <w:r w:rsidR="00ED3398">
        <w:rPr>
          <w:rFonts w:cs="Times New Roman"/>
          <w:sz w:val="24"/>
          <w:szCs w:val="24"/>
        </w:rPr>
        <w:t xml:space="preserve"> must</w:t>
      </w:r>
      <w:r w:rsidRPr="00A30ECB">
        <w:rPr>
          <w:rFonts w:cs="Times New Roman"/>
          <w:sz w:val="24"/>
          <w:szCs w:val="24"/>
        </w:rPr>
        <w:t xml:space="preserve"> meet curricula, diploma, and attendance requirements, comply with health and safety codes, and </w:t>
      </w:r>
      <w:r w:rsidR="00A8563D">
        <w:rPr>
          <w:rFonts w:cs="Times New Roman"/>
          <w:sz w:val="24"/>
          <w:szCs w:val="24"/>
        </w:rPr>
        <w:t xml:space="preserve">may </w:t>
      </w:r>
      <w:r w:rsidRPr="00A30ECB">
        <w:rPr>
          <w:rFonts w:cs="Times New Roman"/>
          <w:sz w:val="24"/>
          <w:szCs w:val="24"/>
        </w:rPr>
        <w:t>not unlawfully discriminate based on race, color, or national origin.</w:t>
      </w:r>
    </w:p>
    <w:p w14:paraId="08E70F0A" w14:textId="044C532C" w:rsidR="00753DAB" w:rsidRPr="00A30ECB" w:rsidRDefault="00753DAB" w:rsidP="00A30ECB">
      <w:pPr>
        <w:ind w:left="360"/>
        <w:rPr>
          <w:rFonts w:cs="Times New Roman"/>
          <w:sz w:val="24"/>
          <w:szCs w:val="24"/>
        </w:rPr>
      </w:pPr>
    </w:p>
    <w:p w14:paraId="23389A59" w14:textId="77777777" w:rsidR="00753DAB" w:rsidRPr="00A30ECB" w:rsidRDefault="00753DAB" w:rsidP="00A30ECB">
      <w:pPr>
        <w:ind w:left="360"/>
        <w:rPr>
          <w:sz w:val="24"/>
          <w:szCs w:val="24"/>
        </w:rPr>
      </w:pPr>
      <w:r w:rsidRPr="00A30ECB">
        <w:rPr>
          <w:sz w:val="24"/>
          <w:szCs w:val="24"/>
        </w:rPr>
        <w:t>Education Service Providers providing full-time instruction must provide the following assessments:</w:t>
      </w:r>
    </w:p>
    <w:p w14:paraId="4D860626" w14:textId="77777777" w:rsidR="00753DAB" w:rsidRPr="00A30ECB" w:rsidRDefault="00753DAB" w:rsidP="00E90E65">
      <w:pPr>
        <w:pStyle w:val="ListParagraph"/>
        <w:numPr>
          <w:ilvl w:val="0"/>
          <w:numId w:val="21"/>
        </w:numPr>
        <w:rPr>
          <w:sz w:val="24"/>
          <w:szCs w:val="24"/>
        </w:rPr>
      </w:pPr>
      <w:r w:rsidRPr="00A30ECB">
        <w:rPr>
          <w:sz w:val="24"/>
          <w:szCs w:val="24"/>
        </w:rPr>
        <w:t>Grades three through eight must take the SC Ready or SC Ready alternative assessment.</w:t>
      </w:r>
    </w:p>
    <w:p w14:paraId="29A6B407" w14:textId="77777777" w:rsidR="00753DAB" w:rsidRPr="00A30ECB" w:rsidRDefault="00753DAB" w:rsidP="00E90E65">
      <w:pPr>
        <w:pStyle w:val="ListParagraph"/>
        <w:numPr>
          <w:ilvl w:val="0"/>
          <w:numId w:val="21"/>
        </w:numPr>
        <w:rPr>
          <w:sz w:val="24"/>
          <w:szCs w:val="24"/>
        </w:rPr>
      </w:pPr>
      <w:r w:rsidRPr="00A30ECB">
        <w:rPr>
          <w:sz w:val="24"/>
          <w:szCs w:val="24"/>
        </w:rPr>
        <w:t>Grades four and six must take the SC Pass or SC Pass alternative assessment.</w:t>
      </w:r>
    </w:p>
    <w:p w14:paraId="73D40B6E" w14:textId="77777777" w:rsidR="00A30ECB" w:rsidRPr="00A30ECB" w:rsidRDefault="00753DAB" w:rsidP="00E90E65">
      <w:pPr>
        <w:pStyle w:val="ListParagraph"/>
        <w:numPr>
          <w:ilvl w:val="0"/>
          <w:numId w:val="21"/>
        </w:numPr>
        <w:rPr>
          <w:sz w:val="24"/>
          <w:szCs w:val="24"/>
        </w:rPr>
      </w:pPr>
      <w:r w:rsidRPr="00A30ECB">
        <w:rPr>
          <w:sz w:val="24"/>
          <w:szCs w:val="24"/>
        </w:rPr>
        <w:t>Alternatively, grades three through eight may take a nationally normed formative assessment at the beginning, middle</w:t>
      </w:r>
      <w:r w:rsidR="00A30ECB" w:rsidRPr="00A30ECB">
        <w:rPr>
          <w:sz w:val="24"/>
          <w:szCs w:val="24"/>
        </w:rPr>
        <w:t>,</w:t>
      </w:r>
      <w:r w:rsidRPr="00A30ECB">
        <w:rPr>
          <w:sz w:val="24"/>
          <w:szCs w:val="24"/>
        </w:rPr>
        <w:t xml:space="preserve"> and end of the school year.  </w:t>
      </w:r>
      <w:proofErr w:type="spellStart"/>
      <w:r w:rsidRPr="00A30ECB">
        <w:rPr>
          <w:sz w:val="24"/>
          <w:szCs w:val="24"/>
        </w:rPr>
        <w:t>SDE</w:t>
      </w:r>
      <w:proofErr w:type="spellEnd"/>
      <w:r w:rsidRPr="00A30ECB">
        <w:rPr>
          <w:sz w:val="24"/>
          <w:szCs w:val="24"/>
        </w:rPr>
        <w:t xml:space="preserve"> must approve the assessment</w:t>
      </w:r>
      <w:r w:rsidR="00A30ECB" w:rsidRPr="00A30ECB">
        <w:rPr>
          <w:sz w:val="24"/>
          <w:szCs w:val="24"/>
        </w:rPr>
        <w:t>.</w:t>
      </w:r>
    </w:p>
    <w:p w14:paraId="0D451AA1" w14:textId="74434E24" w:rsidR="00753DAB" w:rsidRDefault="00753DAB" w:rsidP="00E90E65">
      <w:pPr>
        <w:pStyle w:val="ListParagraph"/>
        <w:numPr>
          <w:ilvl w:val="0"/>
          <w:numId w:val="21"/>
        </w:numPr>
      </w:pPr>
      <w:r w:rsidRPr="00A30ECB">
        <w:rPr>
          <w:sz w:val="24"/>
          <w:szCs w:val="24"/>
        </w:rPr>
        <w:t xml:space="preserve">Grades nine through twelve must take a nationally norm referenced, or formative assessment approved by </w:t>
      </w:r>
      <w:proofErr w:type="spellStart"/>
      <w:r w:rsidRPr="00A30ECB">
        <w:rPr>
          <w:sz w:val="24"/>
          <w:szCs w:val="24"/>
        </w:rPr>
        <w:t>SDE</w:t>
      </w:r>
      <w:proofErr w:type="spellEnd"/>
      <w:r w:rsidRPr="00A30ECB">
        <w:t>.</w:t>
      </w:r>
    </w:p>
    <w:p w14:paraId="0128795E" w14:textId="077A4CF5" w:rsidR="00753DAB" w:rsidRDefault="00753DAB" w:rsidP="00A30ECB">
      <w:pPr>
        <w:ind w:left="360"/>
        <w:rPr>
          <w:rFonts w:cs="Times New Roman"/>
          <w:bCs/>
          <w:sz w:val="24"/>
          <w:szCs w:val="24"/>
        </w:rPr>
      </w:pPr>
      <w:r w:rsidRPr="00A30ECB">
        <w:rPr>
          <w:rFonts w:cs="Times New Roman"/>
          <w:bCs/>
          <w:sz w:val="24"/>
          <w:szCs w:val="24"/>
        </w:rPr>
        <w:lastRenderedPageBreak/>
        <w:t>The Education Oversight Committee must report on learning gains and graduation rates of scholarship recipients.  A</w:t>
      </w:r>
      <w:r w:rsidR="00A30ECB">
        <w:rPr>
          <w:rFonts w:cs="Times New Roman"/>
          <w:bCs/>
          <w:sz w:val="24"/>
          <w:szCs w:val="24"/>
        </w:rPr>
        <w:t xml:space="preserve"> review panel </w:t>
      </w:r>
      <w:r w:rsidRPr="00A30ECB">
        <w:rPr>
          <w:rFonts w:cs="Times New Roman"/>
          <w:bCs/>
          <w:sz w:val="24"/>
          <w:szCs w:val="24"/>
        </w:rPr>
        <w:t>is established to provide advice to the Department.</w:t>
      </w:r>
    </w:p>
    <w:p w14:paraId="79E707AD" w14:textId="2F1E79F1" w:rsidR="00A30ECB" w:rsidRDefault="00A30ECB" w:rsidP="00A30ECB">
      <w:pPr>
        <w:ind w:left="360"/>
        <w:rPr>
          <w:rFonts w:cs="Times New Roman"/>
          <w:bCs/>
          <w:sz w:val="24"/>
          <w:szCs w:val="24"/>
        </w:rPr>
      </w:pPr>
    </w:p>
    <w:p w14:paraId="3F38F130" w14:textId="02653590" w:rsidR="00A30ECB" w:rsidRDefault="00A30ECB" w:rsidP="00A30ECB">
      <w:pPr>
        <w:ind w:left="360"/>
        <w:rPr>
          <w:rFonts w:cs="Times New Roman"/>
          <w:b/>
          <w:i/>
          <w:iCs/>
          <w:sz w:val="24"/>
          <w:szCs w:val="24"/>
        </w:rPr>
      </w:pPr>
      <w:r w:rsidRPr="00A30ECB">
        <w:rPr>
          <w:rFonts w:cs="Times New Roman"/>
          <w:b/>
          <w:i/>
          <w:iCs/>
          <w:sz w:val="24"/>
          <w:szCs w:val="24"/>
        </w:rPr>
        <w:t>(</w:t>
      </w:r>
      <w:r w:rsidR="00ED3398" w:rsidRPr="00A30ECB">
        <w:rPr>
          <w:rFonts w:cs="Times New Roman"/>
          <w:b/>
          <w:i/>
          <w:iCs/>
          <w:sz w:val="24"/>
          <w:szCs w:val="24"/>
        </w:rPr>
        <w:t>Act 8</w:t>
      </w:r>
      <w:r w:rsidRPr="00A30ECB">
        <w:rPr>
          <w:rFonts w:cs="Times New Roman"/>
          <w:b/>
          <w:i/>
          <w:iCs/>
          <w:sz w:val="24"/>
          <w:szCs w:val="24"/>
        </w:rPr>
        <w:t xml:space="preserve"> was signed by the Governor on May 4, 2023)</w:t>
      </w:r>
    </w:p>
    <w:p w14:paraId="173A98B0" w14:textId="3E004D23" w:rsidR="00A30ECB" w:rsidRDefault="00A30ECB" w:rsidP="00A30ECB">
      <w:pPr>
        <w:ind w:left="360"/>
        <w:rPr>
          <w:rFonts w:cs="Times New Roman"/>
          <w:b/>
          <w:i/>
          <w:iCs/>
          <w:sz w:val="24"/>
          <w:szCs w:val="24"/>
        </w:rPr>
      </w:pPr>
    </w:p>
    <w:p w14:paraId="2C9C1035" w14:textId="77777777" w:rsidR="00A30ECB" w:rsidRPr="00A30ECB" w:rsidRDefault="00A30ECB" w:rsidP="00A30ECB">
      <w:pPr>
        <w:ind w:left="360"/>
        <w:rPr>
          <w:rFonts w:cs="Times New Roman"/>
          <w:b/>
          <w:i/>
          <w:iCs/>
          <w:sz w:val="24"/>
          <w:szCs w:val="24"/>
        </w:rPr>
      </w:pPr>
    </w:p>
    <w:p w14:paraId="72765431" w14:textId="3F20922E" w:rsidR="00753DAB" w:rsidRPr="00753DAB" w:rsidRDefault="00753DAB" w:rsidP="00E90E65">
      <w:pPr>
        <w:pStyle w:val="ListParagraph"/>
        <w:numPr>
          <w:ilvl w:val="0"/>
          <w:numId w:val="1"/>
        </w:numPr>
        <w:rPr>
          <w:rFonts w:cs="Times New Roman"/>
          <w:sz w:val="24"/>
          <w:szCs w:val="24"/>
        </w:rPr>
      </w:pPr>
      <w:r w:rsidRPr="00753DAB">
        <w:rPr>
          <w:b/>
          <w:sz w:val="24"/>
          <w:szCs w:val="24"/>
        </w:rPr>
        <w:t xml:space="preserve">Act </w:t>
      </w:r>
      <w:r>
        <w:rPr>
          <w:b/>
          <w:sz w:val="24"/>
          <w:szCs w:val="24"/>
        </w:rPr>
        <w:t xml:space="preserve">9 </w:t>
      </w:r>
      <w:r w:rsidRPr="00753DAB">
        <w:rPr>
          <w:b/>
          <w:sz w:val="24"/>
          <w:szCs w:val="24"/>
        </w:rPr>
        <w:t xml:space="preserve">(Senate bill 299) </w:t>
      </w:r>
      <w:r w:rsidRPr="00753DAB">
        <w:rPr>
          <w:rFonts w:cs="Times New Roman"/>
          <w:sz w:val="24"/>
          <w:szCs w:val="24"/>
        </w:rPr>
        <w:t>adds the State Child Advocate to the Joint Citizens and Legislative Committee on Children.</w:t>
      </w:r>
    </w:p>
    <w:p w14:paraId="64201DB5" w14:textId="77777777" w:rsidR="00753DAB" w:rsidRDefault="00753DAB" w:rsidP="00753DAB">
      <w:pPr>
        <w:ind w:left="360"/>
        <w:rPr>
          <w:b/>
          <w:i/>
          <w:sz w:val="24"/>
          <w:szCs w:val="24"/>
        </w:rPr>
      </w:pPr>
    </w:p>
    <w:p w14:paraId="5DAF0136" w14:textId="7CCE9D34" w:rsidR="00753DAB" w:rsidRPr="007B7AF7" w:rsidRDefault="00753DAB" w:rsidP="00753DAB">
      <w:pPr>
        <w:ind w:left="360"/>
        <w:rPr>
          <w:b/>
          <w:sz w:val="24"/>
          <w:szCs w:val="24"/>
        </w:rPr>
      </w:pPr>
      <w:r w:rsidRPr="007B7AF7">
        <w:rPr>
          <w:b/>
          <w:i/>
          <w:sz w:val="24"/>
          <w:szCs w:val="24"/>
        </w:rPr>
        <w:t>(</w:t>
      </w:r>
      <w:r w:rsidR="00ED3398">
        <w:rPr>
          <w:b/>
          <w:i/>
          <w:sz w:val="24"/>
          <w:szCs w:val="24"/>
        </w:rPr>
        <w:t>Act 9</w:t>
      </w:r>
      <w:r>
        <w:rPr>
          <w:b/>
          <w:i/>
          <w:sz w:val="24"/>
          <w:szCs w:val="24"/>
        </w:rPr>
        <w:t xml:space="preserve"> was </w:t>
      </w:r>
      <w:r w:rsidR="00ED3398">
        <w:rPr>
          <w:b/>
          <w:i/>
          <w:sz w:val="24"/>
          <w:szCs w:val="24"/>
        </w:rPr>
        <w:t>signed by the Governor on May 10, 2023</w:t>
      </w:r>
      <w:r>
        <w:rPr>
          <w:b/>
          <w:i/>
          <w:sz w:val="24"/>
          <w:szCs w:val="24"/>
        </w:rPr>
        <w:t>.</w:t>
      </w:r>
      <w:r>
        <w:rPr>
          <w:b/>
          <w:sz w:val="24"/>
          <w:szCs w:val="24"/>
        </w:rPr>
        <w:t>)</w:t>
      </w:r>
    </w:p>
    <w:p w14:paraId="36A1BBC6" w14:textId="1D71C303" w:rsidR="00753DAB" w:rsidRDefault="00753DAB" w:rsidP="00D4539A">
      <w:pPr>
        <w:rPr>
          <w:sz w:val="24"/>
          <w:szCs w:val="24"/>
          <w:u w:val="single"/>
        </w:rPr>
      </w:pPr>
    </w:p>
    <w:p w14:paraId="30530BF4" w14:textId="77777777" w:rsidR="00ED3398" w:rsidRDefault="00ED3398" w:rsidP="00D4539A">
      <w:pPr>
        <w:rPr>
          <w:sz w:val="24"/>
          <w:szCs w:val="24"/>
          <w:u w:val="single"/>
        </w:rPr>
      </w:pPr>
    </w:p>
    <w:p w14:paraId="2C4F42CD" w14:textId="6F3AFCC5" w:rsidR="00A30ECB" w:rsidRPr="00A30ECB" w:rsidRDefault="00A30ECB" w:rsidP="00E90E65">
      <w:pPr>
        <w:pStyle w:val="ListParagraph"/>
        <w:numPr>
          <w:ilvl w:val="0"/>
          <w:numId w:val="2"/>
        </w:numPr>
        <w:spacing w:after="200" w:line="276" w:lineRule="auto"/>
        <w:jc w:val="both"/>
        <w:rPr>
          <w:rFonts w:eastAsia="Calibri" w:cs="Times New Roman"/>
          <w:b/>
          <w:i/>
          <w:sz w:val="24"/>
          <w:szCs w:val="24"/>
        </w:rPr>
      </w:pPr>
      <w:r w:rsidRPr="00451019">
        <w:rPr>
          <w:rFonts w:eastAsia="Calibri" w:cs="Times New Roman"/>
          <w:b/>
          <w:sz w:val="24"/>
          <w:szCs w:val="24"/>
        </w:rPr>
        <w:t xml:space="preserve">Act </w:t>
      </w:r>
      <w:r w:rsidR="00DD1FB7">
        <w:rPr>
          <w:rFonts w:eastAsia="Calibri" w:cs="Times New Roman"/>
          <w:b/>
          <w:sz w:val="24"/>
          <w:szCs w:val="24"/>
        </w:rPr>
        <w:t xml:space="preserve">11 </w:t>
      </w:r>
      <w:r w:rsidRPr="00451019">
        <w:rPr>
          <w:rFonts w:eastAsia="Calibri" w:cs="Times New Roman"/>
          <w:b/>
          <w:sz w:val="24"/>
          <w:szCs w:val="24"/>
        </w:rPr>
        <w:t xml:space="preserve">(Senate bill </w:t>
      </w:r>
      <w:r>
        <w:rPr>
          <w:rFonts w:eastAsia="Calibri" w:cs="Times New Roman"/>
          <w:b/>
          <w:sz w:val="24"/>
          <w:szCs w:val="24"/>
        </w:rPr>
        <w:t>581</w:t>
      </w:r>
      <w:r w:rsidRPr="00451019">
        <w:rPr>
          <w:rFonts w:eastAsia="Calibri" w:cs="Times New Roman"/>
          <w:b/>
          <w:sz w:val="24"/>
          <w:szCs w:val="24"/>
        </w:rPr>
        <w:t xml:space="preserve">) </w:t>
      </w:r>
      <w:r w:rsidRPr="00DD1FB7">
        <w:rPr>
          <w:rFonts w:eastAsia="Calibri" w:cs="Times New Roman"/>
          <w:bCs/>
          <w:sz w:val="24"/>
          <w:szCs w:val="24"/>
        </w:rPr>
        <w:t>names the</w:t>
      </w:r>
      <w:r w:rsidRPr="00A30ECB">
        <w:rPr>
          <w:rFonts w:eastAsia="Calibri" w:cs="Times New Roman"/>
          <w:sz w:val="24"/>
          <w:szCs w:val="24"/>
        </w:rPr>
        <w:t xml:space="preserve"> Venus </w:t>
      </w:r>
      <w:r w:rsidR="00DD1FB7">
        <w:rPr>
          <w:rFonts w:eastAsia="Calibri" w:cs="Times New Roman"/>
          <w:sz w:val="24"/>
          <w:szCs w:val="24"/>
        </w:rPr>
        <w:t>F</w:t>
      </w:r>
      <w:r w:rsidRPr="00A30ECB">
        <w:rPr>
          <w:rFonts w:eastAsia="Calibri" w:cs="Times New Roman"/>
          <w:sz w:val="24"/>
          <w:szCs w:val="24"/>
        </w:rPr>
        <w:t xml:space="preserve">lytrap </w:t>
      </w:r>
      <w:r>
        <w:rPr>
          <w:rFonts w:eastAsia="Calibri" w:cs="Times New Roman"/>
          <w:sz w:val="24"/>
          <w:szCs w:val="24"/>
        </w:rPr>
        <w:t>a</w:t>
      </w:r>
      <w:r w:rsidRPr="00A30ECB">
        <w:rPr>
          <w:rFonts w:eastAsia="Calibri" w:cs="Times New Roman"/>
          <w:sz w:val="24"/>
          <w:szCs w:val="24"/>
        </w:rPr>
        <w:t xml:space="preserve">s the </w:t>
      </w:r>
      <w:r>
        <w:rPr>
          <w:rFonts w:eastAsia="Calibri" w:cs="Times New Roman"/>
          <w:sz w:val="24"/>
          <w:szCs w:val="24"/>
        </w:rPr>
        <w:t xml:space="preserve">State’s </w:t>
      </w:r>
      <w:r w:rsidRPr="00A30ECB">
        <w:rPr>
          <w:rFonts w:eastAsia="Calibri" w:cs="Times New Roman"/>
          <w:sz w:val="24"/>
          <w:szCs w:val="24"/>
        </w:rPr>
        <w:t>official carnivorous plant.</w:t>
      </w:r>
    </w:p>
    <w:p w14:paraId="77C28378" w14:textId="77777777" w:rsidR="00A30ECB" w:rsidRDefault="00A30ECB" w:rsidP="00A30ECB">
      <w:pPr>
        <w:pStyle w:val="ListParagraph"/>
        <w:spacing w:after="200" w:line="276" w:lineRule="auto"/>
        <w:ind w:left="360"/>
        <w:jc w:val="both"/>
        <w:rPr>
          <w:rFonts w:eastAsia="Calibri" w:cs="Times New Roman"/>
          <w:b/>
          <w:i/>
          <w:sz w:val="24"/>
          <w:szCs w:val="24"/>
        </w:rPr>
      </w:pPr>
    </w:p>
    <w:p w14:paraId="7C3A79FE" w14:textId="151BE330" w:rsidR="00A30ECB" w:rsidRDefault="00A30ECB" w:rsidP="00A30ECB">
      <w:pPr>
        <w:pStyle w:val="ListParagraph"/>
        <w:spacing w:after="200" w:line="276" w:lineRule="auto"/>
        <w:ind w:left="360"/>
        <w:jc w:val="both"/>
        <w:rPr>
          <w:rFonts w:eastAsia="Calibri" w:cs="Times New Roman"/>
          <w:b/>
          <w:i/>
          <w:sz w:val="24"/>
          <w:szCs w:val="24"/>
        </w:rPr>
      </w:pPr>
      <w:r w:rsidRPr="00A30ECB">
        <w:rPr>
          <w:rFonts w:eastAsia="Calibri" w:cs="Times New Roman"/>
          <w:b/>
          <w:i/>
          <w:sz w:val="24"/>
          <w:szCs w:val="24"/>
        </w:rPr>
        <w:t xml:space="preserve">(Act </w:t>
      </w:r>
      <w:r w:rsidR="00DD1FB7">
        <w:rPr>
          <w:rFonts w:eastAsia="Calibri" w:cs="Times New Roman"/>
          <w:b/>
          <w:i/>
          <w:sz w:val="24"/>
          <w:szCs w:val="24"/>
        </w:rPr>
        <w:t>11</w:t>
      </w:r>
      <w:r w:rsidRPr="00A30ECB">
        <w:rPr>
          <w:rFonts w:eastAsia="Calibri" w:cs="Times New Roman"/>
          <w:b/>
          <w:i/>
          <w:sz w:val="24"/>
          <w:szCs w:val="24"/>
        </w:rPr>
        <w:t xml:space="preserve"> was signed by the Governor on </w:t>
      </w:r>
      <w:r w:rsidR="00DD1FB7">
        <w:rPr>
          <w:rFonts w:eastAsia="Calibri" w:cs="Times New Roman"/>
          <w:b/>
          <w:i/>
          <w:sz w:val="24"/>
          <w:szCs w:val="24"/>
        </w:rPr>
        <w:t>May 8, 2023</w:t>
      </w:r>
      <w:r w:rsidRPr="00A30ECB">
        <w:rPr>
          <w:rFonts w:eastAsia="Calibri" w:cs="Times New Roman"/>
          <w:b/>
          <w:i/>
          <w:sz w:val="24"/>
          <w:szCs w:val="24"/>
        </w:rPr>
        <w:t>.)</w:t>
      </w:r>
    </w:p>
    <w:p w14:paraId="39D72EB4" w14:textId="77777777" w:rsidR="00CE2AAE" w:rsidRDefault="00CE2AAE" w:rsidP="00A30ECB">
      <w:pPr>
        <w:pStyle w:val="ListParagraph"/>
        <w:spacing w:after="200" w:line="276" w:lineRule="auto"/>
        <w:ind w:left="360"/>
        <w:jc w:val="both"/>
        <w:rPr>
          <w:rFonts w:eastAsia="Calibri" w:cs="Times New Roman"/>
          <w:b/>
          <w:i/>
          <w:sz w:val="24"/>
          <w:szCs w:val="24"/>
        </w:rPr>
      </w:pPr>
    </w:p>
    <w:p w14:paraId="3C6B384E" w14:textId="77777777" w:rsidR="00CE2AAE" w:rsidRPr="00753DAB" w:rsidRDefault="00CE2AAE" w:rsidP="00CE2AAE">
      <w:pPr>
        <w:pStyle w:val="ListParagraph"/>
        <w:numPr>
          <w:ilvl w:val="0"/>
          <w:numId w:val="1"/>
        </w:numPr>
        <w:rPr>
          <w:rFonts w:cs="Times New Roman"/>
          <w:sz w:val="24"/>
          <w:szCs w:val="24"/>
        </w:rPr>
      </w:pPr>
      <w:r w:rsidRPr="00753DAB">
        <w:rPr>
          <w:rFonts w:cs="Times New Roman"/>
          <w:b/>
          <w:sz w:val="24"/>
          <w:szCs w:val="24"/>
        </w:rPr>
        <w:t>Ac</w:t>
      </w:r>
      <w:r>
        <w:rPr>
          <w:rFonts w:cs="Times New Roman"/>
          <w:b/>
          <w:sz w:val="24"/>
          <w:szCs w:val="24"/>
        </w:rPr>
        <w:t xml:space="preserve">t 21 </w:t>
      </w:r>
      <w:r w:rsidRPr="00753DAB">
        <w:rPr>
          <w:rFonts w:cs="Times New Roman"/>
          <w:b/>
          <w:sz w:val="24"/>
          <w:szCs w:val="24"/>
        </w:rPr>
        <w:t xml:space="preserve">(Senate bill 256) </w:t>
      </w:r>
      <w:r w:rsidRPr="0086633D">
        <w:rPr>
          <w:rFonts w:cs="Times New Roman"/>
          <w:bCs/>
          <w:sz w:val="24"/>
          <w:szCs w:val="24"/>
        </w:rPr>
        <w:t xml:space="preserve">prohibits </w:t>
      </w:r>
      <w:r w:rsidRPr="00753DAB">
        <w:rPr>
          <w:rFonts w:cs="Times New Roman"/>
          <w:sz w:val="24"/>
          <w:szCs w:val="24"/>
        </w:rPr>
        <w:t xml:space="preserve">public schools from banning the </w:t>
      </w:r>
      <w:bookmarkStart w:id="4" w:name="ss_T59C63N85S2_lv2_bbc1edb47"/>
      <w:r w:rsidRPr="00753DAB">
        <w:rPr>
          <w:rFonts w:cs="Times New Roman"/>
          <w:sz w:val="24"/>
          <w:szCs w:val="24"/>
        </w:rPr>
        <w:t>possession or personal use of sunscreen.</w:t>
      </w:r>
      <w:bookmarkEnd w:id="4"/>
      <w:r w:rsidRPr="00753DAB">
        <w:rPr>
          <w:rFonts w:cs="Times New Roman"/>
          <w:sz w:val="24"/>
          <w:szCs w:val="24"/>
        </w:rPr>
        <w:t xml:space="preserve"> (Charter schools are specifically included in the bill’s prohibition.)  Sunscreen is defined as “a topical, non-aerosol product regulated by the United States Food and Drug Administration for over-the-counter use for the purpose of limiting ultraviolet light-induced skin damage. Sunscreen does not include prescription medication.”</w:t>
      </w:r>
    </w:p>
    <w:p w14:paraId="785BE35F" w14:textId="77777777" w:rsidR="00CE2AAE" w:rsidRPr="00103D65" w:rsidRDefault="00CE2AAE" w:rsidP="00CE2AAE">
      <w:pPr>
        <w:pStyle w:val="ListParagraph"/>
        <w:spacing w:after="200" w:line="276" w:lineRule="auto"/>
        <w:ind w:left="360"/>
        <w:jc w:val="both"/>
        <w:rPr>
          <w:rFonts w:eastAsia="Calibri" w:cs="Times New Roman"/>
          <w:sz w:val="24"/>
          <w:szCs w:val="24"/>
        </w:rPr>
      </w:pPr>
    </w:p>
    <w:p w14:paraId="782EA7F2" w14:textId="77777777" w:rsidR="00CE2AAE" w:rsidRDefault="00CE2AAE" w:rsidP="00CE2AAE">
      <w:pPr>
        <w:pStyle w:val="ListParagraph"/>
        <w:spacing w:after="160" w:line="259" w:lineRule="auto"/>
        <w:ind w:left="360"/>
        <w:jc w:val="both"/>
        <w:rPr>
          <w:rFonts w:eastAsia="Calibri" w:cs="Times New Roman"/>
          <w:b/>
          <w:i/>
          <w:sz w:val="24"/>
          <w:szCs w:val="24"/>
        </w:rPr>
      </w:pPr>
      <w:r>
        <w:rPr>
          <w:rFonts w:eastAsia="Calibri" w:cs="Times New Roman"/>
          <w:b/>
          <w:i/>
          <w:sz w:val="24"/>
          <w:szCs w:val="24"/>
        </w:rPr>
        <w:t>(Act 21 was signed by the Governor on May 16, 2023.</w:t>
      </w:r>
      <w:r w:rsidRPr="004B60B2">
        <w:rPr>
          <w:rFonts w:eastAsia="Calibri" w:cs="Times New Roman"/>
          <w:b/>
          <w:i/>
          <w:sz w:val="24"/>
          <w:szCs w:val="24"/>
        </w:rPr>
        <w:t>)</w:t>
      </w:r>
    </w:p>
    <w:p w14:paraId="348D918A" w14:textId="77777777" w:rsidR="00CE2AAE" w:rsidRPr="00CE2AAE" w:rsidRDefault="00CE2AAE" w:rsidP="00CE2AAE">
      <w:pPr>
        <w:pStyle w:val="ListParagraph"/>
        <w:spacing w:after="160" w:line="259" w:lineRule="auto"/>
        <w:ind w:left="360"/>
        <w:jc w:val="both"/>
        <w:rPr>
          <w:rFonts w:eastAsia="Calibri" w:cs="Times New Roman"/>
          <w:b/>
          <w:i/>
          <w:sz w:val="24"/>
          <w:szCs w:val="24"/>
        </w:rPr>
      </w:pPr>
    </w:p>
    <w:p w14:paraId="122DCF1D" w14:textId="30EDF99C" w:rsidR="006C4948" w:rsidRPr="006C4948" w:rsidRDefault="00E454F7" w:rsidP="00E90E65">
      <w:pPr>
        <w:pStyle w:val="ListParagraph"/>
        <w:numPr>
          <w:ilvl w:val="0"/>
          <w:numId w:val="1"/>
        </w:numPr>
        <w:spacing w:after="160" w:line="259" w:lineRule="auto"/>
        <w:jc w:val="both"/>
        <w:rPr>
          <w:rFonts w:eastAsia="Calibri" w:cs="Times New Roman"/>
          <w:b/>
          <w:i/>
          <w:sz w:val="24"/>
          <w:szCs w:val="24"/>
        </w:rPr>
      </w:pPr>
      <w:r>
        <w:rPr>
          <w:b/>
          <w:sz w:val="24"/>
          <w:szCs w:val="24"/>
        </w:rPr>
        <w:t xml:space="preserve">Act </w:t>
      </w:r>
      <w:r w:rsidR="00756885">
        <w:rPr>
          <w:b/>
          <w:sz w:val="24"/>
          <w:szCs w:val="24"/>
        </w:rPr>
        <w:t xml:space="preserve">47 </w:t>
      </w:r>
      <w:r>
        <w:rPr>
          <w:b/>
          <w:sz w:val="24"/>
          <w:szCs w:val="24"/>
        </w:rPr>
        <w:t xml:space="preserve">(House bill </w:t>
      </w:r>
      <w:r w:rsidR="006C4948">
        <w:rPr>
          <w:b/>
          <w:sz w:val="24"/>
          <w:szCs w:val="24"/>
        </w:rPr>
        <w:t>4122</w:t>
      </w:r>
      <w:r>
        <w:rPr>
          <w:b/>
          <w:sz w:val="24"/>
          <w:szCs w:val="24"/>
        </w:rPr>
        <w:t>)</w:t>
      </w:r>
      <w:r w:rsidRPr="00F27E57">
        <w:rPr>
          <w:b/>
          <w:sz w:val="24"/>
          <w:szCs w:val="24"/>
        </w:rPr>
        <w:t xml:space="preserve"> </w:t>
      </w:r>
      <w:r w:rsidR="006C4948">
        <w:rPr>
          <w:bCs/>
          <w:sz w:val="24"/>
          <w:szCs w:val="24"/>
        </w:rPr>
        <w:t xml:space="preserve">adds medications such as Narcan to the list of lifesaving medicines allowed to be administered </w:t>
      </w:r>
      <w:r w:rsidR="006C4948" w:rsidRPr="006C4948">
        <w:rPr>
          <w:bCs/>
          <w:sz w:val="24"/>
          <w:szCs w:val="24"/>
        </w:rPr>
        <w:t>in schools</w:t>
      </w:r>
      <w:r w:rsidR="006C4948">
        <w:rPr>
          <w:bCs/>
          <w:sz w:val="24"/>
          <w:szCs w:val="24"/>
        </w:rPr>
        <w:t xml:space="preserve">.  </w:t>
      </w:r>
      <w:r w:rsidR="006C4948" w:rsidRPr="006C4948">
        <w:rPr>
          <w:bCs/>
          <w:sz w:val="24"/>
          <w:szCs w:val="24"/>
        </w:rPr>
        <w:t>The</w:t>
      </w:r>
      <w:r w:rsidR="006C4948">
        <w:rPr>
          <w:bCs/>
          <w:sz w:val="24"/>
          <w:szCs w:val="24"/>
        </w:rPr>
        <w:t xml:space="preserve"> </w:t>
      </w:r>
      <w:r w:rsidR="006C4948" w:rsidRPr="006C4948">
        <w:rPr>
          <w:bCs/>
          <w:sz w:val="24"/>
          <w:szCs w:val="24"/>
        </w:rPr>
        <w:t>Department of Health and Environmental Control</w:t>
      </w:r>
      <w:r w:rsidR="006C4948">
        <w:rPr>
          <w:bCs/>
          <w:sz w:val="24"/>
          <w:szCs w:val="24"/>
        </w:rPr>
        <w:t xml:space="preserve"> (DHEC)</w:t>
      </w:r>
      <w:r w:rsidR="006C4948" w:rsidRPr="006C4948">
        <w:rPr>
          <w:bCs/>
          <w:sz w:val="24"/>
          <w:szCs w:val="24"/>
        </w:rPr>
        <w:t xml:space="preserve"> </w:t>
      </w:r>
      <w:r w:rsidR="00ED3398">
        <w:rPr>
          <w:bCs/>
          <w:sz w:val="24"/>
          <w:szCs w:val="24"/>
        </w:rPr>
        <w:t xml:space="preserve">and </w:t>
      </w:r>
      <w:proofErr w:type="spellStart"/>
      <w:r w:rsidR="00ED3398">
        <w:rPr>
          <w:bCs/>
          <w:sz w:val="24"/>
          <w:szCs w:val="24"/>
        </w:rPr>
        <w:t>SDE</w:t>
      </w:r>
      <w:proofErr w:type="spellEnd"/>
      <w:r w:rsidR="006C4948">
        <w:rPr>
          <w:bCs/>
          <w:sz w:val="24"/>
          <w:szCs w:val="24"/>
        </w:rPr>
        <w:t xml:space="preserve"> must publish a list of permitted medications</w:t>
      </w:r>
      <w:r w:rsidR="006C4948" w:rsidRPr="006C4948">
        <w:rPr>
          <w:bCs/>
          <w:sz w:val="24"/>
          <w:szCs w:val="24"/>
        </w:rPr>
        <w:t xml:space="preserve">. </w:t>
      </w:r>
      <w:r w:rsidR="006C4948">
        <w:rPr>
          <w:bCs/>
          <w:sz w:val="24"/>
          <w:szCs w:val="24"/>
        </w:rPr>
        <w:t>The agencies are to collaborate on developing</w:t>
      </w:r>
      <w:r w:rsidR="006C4948" w:rsidRPr="006C4948">
        <w:rPr>
          <w:bCs/>
          <w:sz w:val="24"/>
          <w:szCs w:val="24"/>
        </w:rPr>
        <w:t xml:space="preserve"> and implement</w:t>
      </w:r>
      <w:r w:rsidR="006C4948">
        <w:rPr>
          <w:bCs/>
          <w:sz w:val="24"/>
          <w:szCs w:val="24"/>
        </w:rPr>
        <w:t>ing</w:t>
      </w:r>
      <w:r w:rsidR="006C4948" w:rsidRPr="006C4948">
        <w:rPr>
          <w:bCs/>
          <w:sz w:val="24"/>
          <w:szCs w:val="24"/>
        </w:rPr>
        <w:t xml:space="preserve"> policies and procedures for the storage, maintenance, and administration </w:t>
      </w:r>
      <w:r w:rsidR="006C4948">
        <w:rPr>
          <w:bCs/>
          <w:sz w:val="24"/>
          <w:szCs w:val="24"/>
        </w:rPr>
        <w:t>of</w:t>
      </w:r>
      <w:r w:rsidR="006C4948" w:rsidRPr="006C4948">
        <w:rPr>
          <w:bCs/>
          <w:sz w:val="24"/>
          <w:szCs w:val="24"/>
        </w:rPr>
        <w:t xml:space="preserve"> medications in schools. </w:t>
      </w:r>
      <w:proofErr w:type="spellStart"/>
      <w:r w:rsidR="006C4948">
        <w:rPr>
          <w:bCs/>
          <w:sz w:val="24"/>
          <w:szCs w:val="24"/>
        </w:rPr>
        <w:t>SDE</w:t>
      </w:r>
      <w:proofErr w:type="spellEnd"/>
      <w:r w:rsidR="006C4948">
        <w:rPr>
          <w:bCs/>
          <w:sz w:val="24"/>
          <w:szCs w:val="24"/>
        </w:rPr>
        <w:t xml:space="preserve"> must</w:t>
      </w:r>
      <w:r w:rsidR="006C4948" w:rsidRPr="006C4948">
        <w:rPr>
          <w:bCs/>
          <w:sz w:val="24"/>
          <w:szCs w:val="24"/>
        </w:rPr>
        <w:t xml:space="preserve"> provide training for school personnel on the administration of these medications.</w:t>
      </w:r>
    </w:p>
    <w:p w14:paraId="04633EA4" w14:textId="77777777" w:rsidR="006C4948" w:rsidRDefault="006C4948" w:rsidP="006C4948">
      <w:pPr>
        <w:pStyle w:val="ListParagraph"/>
        <w:spacing w:after="160" w:line="259" w:lineRule="auto"/>
        <w:ind w:left="360"/>
        <w:jc w:val="both"/>
        <w:rPr>
          <w:b/>
          <w:sz w:val="24"/>
          <w:szCs w:val="24"/>
        </w:rPr>
      </w:pPr>
    </w:p>
    <w:p w14:paraId="43AD252D" w14:textId="72C4BB59" w:rsidR="00E454F7" w:rsidRDefault="00E454F7" w:rsidP="006C4948">
      <w:pPr>
        <w:pStyle w:val="ListParagraph"/>
        <w:spacing w:after="160" w:line="259" w:lineRule="auto"/>
        <w:ind w:left="360"/>
        <w:jc w:val="both"/>
        <w:rPr>
          <w:rFonts w:eastAsia="Calibri" w:cs="Times New Roman"/>
          <w:b/>
          <w:i/>
          <w:sz w:val="24"/>
          <w:szCs w:val="24"/>
        </w:rPr>
      </w:pPr>
      <w:bookmarkStart w:id="5" w:name="_Hlk135222331"/>
      <w:r>
        <w:rPr>
          <w:rFonts w:eastAsia="Calibri" w:cs="Times New Roman"/>
          <w:b/>
          <w:i/>
          <w:sz w:val="24"/>
          <w:szCs w:val="24"/>
        </w:rPr>
        <w:t>(</w:t>
      </w:r>
      <w:r w:rsidR="00C57ABB">
        <w:rPr>
          <w:rFonts w:eastAsia="Calibri" w:cs="Times New Roman"/>
          <w:b/>
          <w:i/>
          <w:sz w:val="24"/>
          <w:szCs w:val="24"/>
        </w:rPr>
        <w:t>Act</w:t>
      </w:r>
      <w:r w:rsidR="00756885">
        <w:rPr>
          <w:rFonts w:eastAsia="Calibri" w:cs="Times New Roman"/>
          <w:b/>
          <w:i/>
          <w:sz w:val="24"/>
          <w:szCs w:val="24"/>
        </w:rPr>
        <w:t xml:space="preserve"> 47</w:t>
      </w:r>
      <w:r w:rsidR="00C57ABB">
        <w:rPr>
          <w:rFonts w:eastAsia="Calibri" w:cs="Times New Roman"/>
          <w:b/>
          <w:i/>
          <w:sz w:val="24"/>
          <w:szCs w:val="24"/>
        </w:rPr>
        <w:t xml:space="preserve"> was signed by the Governor on May 16, 2023</w:t>
      </w:r>
      <w:r>
        <w:rPr>
          <w:rFonts w:eastAsia="Calibri" w:cs="Times New Roman"/>
          <w:b/>
          <w:i/>
          <w:sz w:val="24"/>
          <w:szCs w:val="24"/>
        </w:rPr>
        <w:t>.</w:t>
      </w:r>
      <w:r w:rsidRPr="004B60B2">
        <w:rPr>
          <w:rFonts w:eastAsia="Calibri" w:cs="Times New Roman"/>
          <w:b/>
          <w:i/>
          <w:sz w:val="24"/>
          <w:szCs w:val="24"/>
        </w:rPr>
        <w:t>)</w:t>
      </w:r>
    </w:p>
    <w:bookmarkEnd w:id="5"/>
    <w:p w14:paraId="6AF4C92B" w14:textId="7CBA8466" w:rsidR="006C4948" w:rsidRDefault="006C4948" w:rsidP="006C4948">
      <w:pPr>
        <w:pStyle w:val="ListParagraph"/>
        <w:spacing w:after="160" w:line="259" w:lineRule="auto"/>
        <w:ind w:left="360"/>
        <w:jc w:val="both"/>
        <w:rPr>
          <w:rFonts w:eastAsia="Calibri" w:cs="Times New Roman"/>
          <w:b/>
          <w:i/>
          <w:sz w:val="24"/>
          <w:szCs w:val="24"/>
        </w:rPr>
      </w:pPr>
    </w:p>
    <w:p w14:paraId="1A763B50" w14:textId="77777777" w:rsidR="00753DAB" w:rsidRDefault="00753DAB" w:rsidP="006C4948">
      <w:pPr>
        <w:pStyle w:val="ListParagraph"/>
        <w:spacing w:after="160" w:line="259" w:lineRule="auto"/>
        <w:ind w:left="360"/>
        <w:jc w:val="both"/>
        <w:rPr>
          <w:rFonts w:eastAsia="Calibri" w:cs="Times New Roman"/>
          <w:b/>
          <w:i/>
          <w:sz w:val="24"/>
          <w:szCs w:val="24"/>
        </w:rPr>
      </w:pPr>
    </w:p>
    <w:p w14:paraId="641DD1F3" w14:textId="158F7A14" w:rsidR="006C4948" w:rsidRPr="00753DAB" w:rsidRDefault="004B1BB3" w:rsidP="00E90E65">
      <w:pPr>
        <w:pStyle w:val="ListParagraph"/>
        <w:numPr>
          <w:ilvl w:val="0"/>
          <w:numId w:val="1"/>
        </w:numPr>
        <w:rPr>
          <w:rFonts w:eastAsia="Calibri" w:cs="Times New Roman"/>
          <w:sz w:val="24"/>
          <w:szCs w:val="24"/>
        </w:rPr>
      </w:pPr>
      <w:r w:rsidRPr="00753DAB">
        <w:rPr>
          <w:rFonts w:eastAsia="Calibri" w:cs="Times New Roman"/>
          <w:b/>
          <w:sz w:val="24"/>
          <w:szCs w:val="24"/>
        </w:rPr>
        <w:t>Act</w:t>
      </w:r>
      <w:r w:rsidR="00756885">
        <w:rPr>
          <w:rFonts w:eastAsia="Calibri" w:cs="Times New Roman"/>
          <w:b/>
          <w:sz w:val="24"/>
          <w:szCs w:val="24"/>
        </w:rPr>
        <w:t xml:space="preserve"> 49 </w:t>
      </w:r>
      <w:r w:rsidR="00CE2AAE">
        <w:rPr>
          <w:rFonts w:eastAsia="Calibri" w:cs="Times New Roman"/>
          <w:b/>
          <w:sz w:val="24"/>
          <w:szCs w:val="24"/>
        </w:rPr>
        <w:t>(</w:t>
      </w:r>
      <w:r w:rsidR="006C4948" w:rsidRPr="00753DAB">
        <w:rPr>
          <w:rFonts w:eastAsia="Calibri" w:cs="Times New Roman"/>
          <w:b/>
          <w:sz w:val="24"/>
          <w:szCs w:val="24"/>
        </w:rPr>
        <w:t>House bill 4291</w:t>
      </w:r>
      <w:r w:rsidRPr="00753DAB">
        <w:rPr>
          <w:rFonts w:eastAsia="Calibri" w:cs="Times New Roman"/>
          <w:b/>
          <w:sz w:val="24"/>
          <w:szCs w:val="24"/>
        </w:rPr>
        <w:t xml:space="preserve">) </w:t>
      </w:r>
      <w:r w:rsidR="006C4948" w:rsidRPr="00753DAB">
        <w:rPr>
          <w:rFonts w:eastAsia="Calibri" w:cs="Times New Roman"/>
          <w:sz w:val="24"/>
          <w:szCs w:val="24"/>
        </w:rPr>
        <w:t>designa</w:t>
      </w:r>
      <w:r w:rsidR="00753DAB">
        <w:rPr>
          <w:rFonts w:eastAsia="Calibri" w:cs="Times New Roman"/>
          <w:sz w:val="24"/>
          <w:szCs w:val="24"/>
        </w:rPr>
        <w:t>tes</w:t>
      </w:r>
      <w:r w:rsidR="006C4948" w:rsidRPr="00753DAB">
        <w:rPr>
          <w:rFonts w:eastAsia="Calibri" w:cs="Times New Roman"/>
          <w:sz w:val="24"/>
          <w:szCs w:val="24"/>
        </w:rPr>
        <w:t xml:space="preserve"> August 8 of each year as "Clog Dancing Day" in South Carolina.</w:t>
      </w:r>
    </w:p>
    <w:p w14:paraId="6B6CEEF6" w14:textId="77777777" w:rsidR="002D2D83" w:rsidRPr="00753DAB" w:rsidRDefault="002D2D83" w:rsidP="00753DAB">
      <w:pPr>
        <w:pStyle w:val="ListParagraph"/>
        <w:spacing w:after="160" w:line="256" w:lineRule="auto"/>
        <w:ind w:left="360"/>
        <w:jc w:val="both"/>
        <w:rPr>
          <w:rFonts w:eastAsia="Calibri" w:cs="Times New Roman"/>
          <w:sz w:val="24"/>
          <w:szCs w:val="24"/>
        </w:rPr>
      </w:pPr>
    </w:p>
    <w:p w14:paraId="08038620" w14:textId="23824624" w:rsidR="00C57ABB" w:rsidRDefault="00C57ABB" w:rsidP="00C57ABB">
      <w:pPr>
        <w:pStyle w:val="ListParagraph"/>
        <w:spacing w:after="160" w:line="259" w:lineRule="auto"/>
        <w:ind w:left="360"/>
        <w:jc w:val="both"/>
        <w:rPr>
          <w:rFonts w:eastAsia="Calibri" w:cs="Times New Roman"/>
          <w:b/>
          <w:i/>
          <w:sz w:val="24"/>
          <w:szCs w:val="24"/>
        </w:rPr>
      </w:pPr>
      <w:r>
        <w:rPr>
          <w:rFonts w:eastAsia="Calibri" w:cs="Times New Roman"/>
          <w:b/>
          <w:i/>
          <w:sz w:val="24"/>
          <w:szCs w:val="24"/>
        </w:rPr>
        <w:t xml:space="preserve">(Act </w:t>
      </w:r>
      <w:r w:rsidR="00756885">
        <w:rPr>
          <w:rFonts w:eastAsia="Calibri" w:cs="Times New Roman"/>
          <w:b/>
          <w:i/>
          <w:sz w:val="24"/>
          <w:szCs w:val="24"/>
        </w:rPr>
        <w:t xml:space="preserve">49 </w:t>
      </w:r>
      <w:r>
        <w:rPr>
          <w:rFonts w:eastAsia="Calibri" w:cs="Times New Roman"/>
          <w:b/>
          <w:i/>
          <w:sz w:val="24"/>
          <w:szCs w:val="24"/>
        </w:rPr>
        <w:t>was signed by the Governor on May 16, 2023.</w:t>
      </w:r>
      <w:r w:rsidRPr="004B60B2">
        <w:rPr>
          <w:rFonts w:eastAsia="Calibri" w:cs="Times New Roman"/>
          <w:b/>
          <w:i/>
          <w:sz w:val="24"/>
          <w:szCs w:val="24"/>
        </w:rPr>
        <w:t>)</w:t>
      </w:r>
    </w:p>
    <w:p w14:paraId="37764ECB" w14:textId="44CE2216" w:rsidR="004B1BB3" w:rsidRDefault="004B1BB3" w:rsidP="004B1BB3">
      <w:pPr>
        <w:pStyle w:val="ListParagraph"/>
        <w:spacing w:after="160" w:line="256" w:lineRule="auto"/>
        <w:rPr>
          <w:rFonts w:eastAsia="Calibri" w:cs="Times New Roman"/>
          <w:b/>
          <w:i/>
          <w:sz w:val="24"/>
          <w:szCs w:val="24"/>
        </w:rPr>
      </w:pPr>
    </w:p>
    <w:p w14:paraId="0F463639" w14:textId="29FE22F2" w:rsidR="00CE2AAE" w:rsidRPr="000756F9" w:rsidRDefault="00CE2AAE" w:rsidP="00CE2AAE">
      <w:pPr>
        <w:pStyle w:val="ListParagraph"/>
        <w:numPr>
          <w:ilvl w:val="0"/>
          <w:numId w:val="23"/>
        </w:numPr>
        <w:rPr>
          <w:rFonts w:cs="Times New Roman"/>
          <w:sz w:val="24"/>
          <w:szCs w:val="24"/>
        </w:rPr>
      </w:pPr>
      <w:r>
        <w:rPr>
          <w:rFonts w:eastAsia="Calibri" w:cs="Times New Roman"/>
          <w:b/>
          <w:sz w:val="24"/>
          <w:szCs w:val="24"/>
        </w:rPr>
        <w:t>Act 79 (</w:t>
      </w:r>
      <w:r w:rsidRPr="00391B5A">
        <w:rPr>
          <w:rFonts w:eastAsia="Calibri" w:cs="Times New Roman"/>
          <w:b/>
          <w:sz w:val="24"/>
          <w:szCs w:val="24"/>
        </w:rPr>
        <w:t xml:space="preserve">House bill 3360 </w:t>
      </w:r>
      <w:r w:rsidRPr="00391B5A">
        <w:rPr>
          <w:rFonts w:cs="Times New Roman"/>
          <w:sz w:val="24"/>
          <w:szCs w:val="24"/>
        </w:rPr>
        <w:t>directs the establishment of the Center for School Safety and Targeted Violence within the South Carolina Law Enforcement Division (SLED).  The center shall “provide extensive training, education, and expertise in the fields of school safety and targeted violence.”</w:t>
      </w:r>
      <w:r>
        <w:rPr>
          <w:rFonts w:cs="Times New Roman"/>
          <w:sz w:val="24"/>
          <w:szCs w:val="24"/>
        </w:rPr>
        <w:t xml:space="preserve">  </w:t>
      </w:r>
      <w:r w:rsidRPr="000756F9">
        <w:rPr>
          <w:rFonts w:cs="Times New Roman"/>
          <w:sz w:val="24"/>
          <w:szCs w:val="24"/>
        </w:rPr>
        <w:t>SLED may incorporate new and existing personnel from any other unit or department as assigned by the Chief of SLED.</w:t>
      </w:r>
      <w:r>
        <w:rPr>
          <w:rFonts w:cs="Times New Roman"/>
          <w:sz w:val="24"/>
          <w:szCs w:val="24"/>
        </w:rPr>
        <w:t xml:space="preserve">  </w:t>
      </w:r>
    </w:p>
    <w:p w14:paraId="139ADD89" w14:textId="77777777" w:rsidR="00CE2AAE" w:rsidRDefault="00CE2AAE" w:rsidP="00CE2AAE">
      <w:pPr>
        <w:pStyle w:val="ListParagraph"/>
        <w:spacing w:after="200" w:line="276" w:lineRule="auto"/>
        <w:ind w:left="360"/>
        <w:jc w:val="both"/>
        <w:rPr>
          <w:rFonts w:eastAsia="Calibri" w:cs="Times New Roman"/>
          <w:sz w:val="24"/>
          <w:szCs w:val="24"/>
        </w:rPr>
      </w:pPr>
    </w:p>
    <w:p w14:paraId="3731866B" w14:textId="061151B5" w:rsidR="00CE2AAE" w:rsidRDefault="00CE2AAE" w:rsidP="00CE2AAE">
      <w:pPr>
        <w:pStyle w:val="ListParagraph"/>
        <w:spacing w:after="200" w:line="276" w:lineRule="auto"/>
        <w:ind w:left="360"/>
        <w:rPr>
          <w:rFonts w:eastAsia="Calibri" w:cs="Times New Roman"/>
          <w:b/>
          <w:i/>
          <w:sz w:val="24"/>
          <w:szCs w:val="24"/>
        </w:rPr>
      </w:pPr>
      <w:bookmarkStart w:id="6" w:name="_Hlk138676410"/>
      <w:r w:rsidRPr="00F90199">
        <w:rPr>
          <w:rFonts w:eastAsia="Calibri" w:cs="Times New Roman"/>
          <w:b/>
          <w:i/>
          <w:sz w:val="24"/>
          <w:szCs w:val="24"/>
        </w:rPr>
        <w:t>(</w:t>
      </w:r>
      <w:r>
        <w:rPr>
          <w:rFonts w:eastAsia="Calibri" w:cs="Times New Roman"/>
          <w:b/>
          <w:i/>
          <w:sz w:val="24"/>
          <w:szCs w:val="24"/>
        </w:rPr>
        <w:t xml:space="preserve">Act 79 was signed by the Governor on June 19, </w:t>
      </w:r>
      <w:r w:rsidR="00D14D82" w:rsidRPr="00F90199">
        <w:rPr>
          <w:rFonts w:eastAsia="Calibri" w:cs="Times New Roman"/>
          <w:b/>
          <w:i/>
          <w:sz w:val="24"/>
          <w:szCs w:val="24"/>
        </w:rPr>
        <w:t>202</w:t>
      </w:r>
      <w:r w:rsidR="00D14D82">
        <w:rPr>
          <w:rFonts w:eastAsia="Calibri" w:cs="Times New Roman"/>
          <w:b/>
          <w:i/>
          <w:sz w:val="24"/>
          <w:szCs w:val="24"/>
        </w:rPr>
        <w:t>3.</w:t>
      </w:r>
      <w:r w:rsidRPr="00F90199">
        <w:rPr>
          <w:rFonts w:eastAsia="Calibri" w:cs="Times New Roman"/>
          <w:b/>
          <w:i/>
          <w:sz w:val="24"/>
          <w:szCs w:val="24"/>
        </w:rPr>
        <w:t>)</w:t>
      </w:r>
    </w:p>
    <w:bookmarkEnd w:id="6"/>
    <w:p w14:paraId="5E0D65A2" w14:textId="3C56A688" w:rsidR="00DD1FB7" w:rsidRDefault="00DD1FB7" w:rsidP="00DD1FB7">
      <w:pPr>
        <w:spacing w:after="200" w:line="276" w:lineRule="auto"/>
        <w:rPr>
          <w:sz w:val="24"/>
          <w:szCs w:val="24"/>
          <w:u w:val="single"/>
        </w:rPr>
      </w:pPr>
    </w:p>
    <w:p w14:paraId="633F778F" w14:textId="118CE919" w:rsidR="00DF04EC" w:rsidRDefault="00DF04EC" w:rsidP="00DD1FB7">
      <w:pPr>
        <w:spacing w:after="200" w:line="276" w:lineRule="auto"/>
        <w:rPr>
          <w:sz w:val="24"/>
          <w:szCs w:val="24"/>
          <w:u w:val="single"/>
        </w:rPr>
      </w:pPr>
    </w:p>
    <w:p w14:paraId="65D71190" w14:textId="77777777" w:rsidR="00A8563D" w:rsidRDefault="00A8563D" w:rsidP="00DD1FB7">
      <w:pPr>
        <w:spacing w:after="200" w:line="276" w:lineRule="auto"/>
        <w:rPr>
          <w:sz w:val="24"/>
          <w:szCs w:val="24"/>
          <w:u w:val="single"/>
        </w:rPr>
      </w:pPr>
    </w:p>
    <w:p w14:paraId="249B2BF0" w14:textId="33C9F1A4" w:rsidR="00DD1FB7" w:rsidRDefault="00DD1FB7" w:rsidP="00DD1FB7">
      <w:pPr>
        <w:spacing w:after="200" w:line="276" w:lineRule="auto"/>
        <w:jc w:val="center"/>
        <w:rPr>
          <w:sz w:val="24"/>
          <w:szCs w:val="24"/>
          <w:u w:val="single"/>
        </w:rPr>
      </w:pPr>
      <w:bookmarkStart w:id="7" w:name="_Hlk135295370"/>
      <w:r>
        <w:rPr>
          <w:sz w:val="24"/>
          <w:szCs w:val="24"/>
          <w:u w:val="single"/>
        </w:rPr>
        <w:lastRenderedPageBreak/>
        <w:t>BILLS AWAITING DELIBERATION BY THE CONFERENCE COMMITTEE</w:t>
      </w:r>
    </w:p>
    <w:p w14:paraId="549FE1BC" w14:textId="0308527B" w:rsidR="00DD1FB7" w:rsidRPr="001E5013" w:rsidRDefault="00DD1FB7" w:rsidP="00E90E65">
      <w:pPr>
        <w:pStyle w:val="ListParagraph"/>
        <w:numPr>
          <w:ilvl w:val="0"/>
          <w:numId w:val="1"/>
        </w:numPr>
        <w:spacing w:after="200" w:line="276" w:lineRule="auto"/>
        <w:rPr>
          <w:b/>
          <w:bCs/>
          <w:sz w:val="24"/>
          <w:szCs w:val="24"/>
          <w:u w:val="single"/>
        </w:rPr>
      </w:pPr>
      <w:bookmarkStart w:id="8" w:name="_Hlk135313070"/>
      <w:bookmarkEnd w:id="7"/>
      <w:r w:rsidRPr="001E5013">
        <w:rPr>
          <w:b/>
          <w:bCs/>
          <w:sz w:val="24"/>
          <w:szCs w:val="24"/>
        </w:rPr>
        <w:t xml:space="preserve">House bill 3728 </w:t>
      </w:r>
      <w:r w:rsidRPr="001E5013">
        <w:rPr>
          <w:sz w:val="24"/>
          <w:szCs w:val="24"/>
        </w:rPr>
        <w:t xml:space="preserve">is </w:t>
      </w:r>
      <w:r w:rsidR="00DD048F">
        <w:rPr>
          <w:sz w:val="24"/>
          <w:szCs w:val="24"/>
        </w:rPr>
        <w:t>know</w:t>
      </w:r>
      <w:r w:rsidR="0086633D">
        <w:rPr>
          <w:sz w:val="24"/>
          <w:szCs w:val="24"/>
        </w:rPr>
        <w:t>n</w:t>
      </w:r>
      <w:r w:rsidR="00DD048F">
        <w:rPr>
          <w:sz w:val="24"/>
          <w:szCs w:val="24"/>
        </w:rPr>
        <w:t xml:space="preserve"> as the</w:t>
      </w:r>
      <w:r w:rsidRPr="001E5013">
        <w:rPr>
          <w:sz w:val="24"/>
          <w:szCs w:val="24"/>
        </w:rPr>
        <w:t xml:space="preserve"> Transparency and Integrity in Education (TIE) Act</w:t>
      </w:r>
      <w:r w:rsidR="001E5013">
        <w:rPr>
          <w:sz w:val="24"/>
          <w:szCs w:val="24"/>
        </w:rPr>
        <w:t xml:space="preserve"> and provides</w:t>
      </w:r>
      <w:r w:rsidRPr="001E5013">
        <w:rPr>
          <w:sz w:val="24"/>
          <w:szCs w:val="24"/>
        </w:rPr>
        <w:t xml:space="preserve"> that instruction in public schools </w:t>
      </w:r>
      <w:r w:rsidRPr="001E5013">
        <w:rPr>
          <w:rFonts w:eastAsia="Calibri" w:cs="Times New Roman"/>
          <w:sz w:val="24"/>
          <w:szCs w:val="24"/>
        </w:rPr>
        <w:t>should be non-biased and include a broad scope of history.</w:t>
      </w:r>
    </w:p>
    <w:p w14:paraId="39812E64" w14:textId="77777777" w:rsidR="00DF04EC" w:rsidRDefault="00DF04EC" w:rsidP="001E5013">
      <w:pPr>
        <w:pStyle w:val="ListParagraph"/>
        <w:spacing w:after="200" w:line="276" w:lineRule="auto"/>
        <w:ind w:left="360"/>
        <w:rPr>
          <w:rFonts w:eastAsia="Calibri" w:cs="Times New Roman"/>
          <w:sz w:val="24"/>
          <w:szCs w:val="24"/>
        </w:rPr>
      </w:pPr>
    </w:p>
    <w:p w14:paraId="474762AA" w14:textId="386FF119" w:rsidR="00DD1FB7" w:rsidRPr="001E5013" w:rsidRDefault="00DD1FB7" w:rsidP="001E5013">
      <w:pPr>
        <w:pStyle w:val="ListParagraph"/>
        <w:spacing w:after="200" w:line="276" w:lineRule="auto"/>
        <w:ind w:left="360"/>
        <w:rPr>
          <w:rFonts w:eastAsia="Calibri" w:cs="Times New Roman"/>
          <w:sz w:val="24"/>
          <w:szCs w:val="24"/>
        </w:rPr>
      </w:pPr>
      <w:r w:rsidRPr="001E5013">
        <w:rPr>
          <w:rFonts w:eastAsia="Calibri" w:cs="Times New Roman"/>
          <w:sz w:val="24"/>
          <w:szCs w:val="24"/>
        </w:rPr>
        <w:t>Instructional material and professional development should not promote that one race, sex, ethnicity, religion, color, or national origin is superior, inherently privileged, or determines moral character. Moreover, those traits should not cause the assignment of fault or bias to an individual or group.</w:t>
      </w:r>
      <w:r w:rsidR="001E5013">
        <w:rPr>
          <w:rFonts w:eastAsia="Calibri" w:cs="Times New Roman"/>
          <w:sz w:val="24"/>
          <w:szCs w:val="24"/>
        </w:rPr>
        <w:t xml:space="preserve">  </w:t>
      </w:r>
      <w:r w:rsidRPr="001E5013">
        <w:rPr>
          <w:rFonts w:eastAsia="Calibri" w:cs="Times New Roman"/>
          <w:sz w:val="24"/>
          <w:szCs w:val="24"/>
        </w:rPr>
        <w:t>Students and teachers cannot be required to attend gender or sexual diversity training unless it is part of a corrective action plan mandated by the district.</w:t>
      </w:r>
    </w:p>
    <w:p w14:paraId="70D077DD" w14:textId="77777777" w:rsidR="00DD1FB7" w:rsidRPr="001E5013" w:rsidRDefault="00DD1FB7" w:rsidP="00DD1FB7">
      <w:pPr>
        <w:pStyle w:val="ListParagraph"/>
        <w:spacing w:after="200" w:line="276" w:lineRule="auto"/>
        <w:ind w:left="360"/>
        <w:rPr>
          <w:rFonts w:eastAsia="Calibri" w:cs="Times New Roman"/>
          <w:sz w:val="24"/>
          <w:szCs w:val="24"/>
        </w:rPr>
      </w:pPr>
    </w:p>
    <w:p w14:paraId="73D1778A" w14:textId="4CDB94F8" w:rsidR="00DD1FB7" w:rsidRPr="001E5013" w:rsidRDefault="00DD1FB7" w:rsidP="00DD1FB7">
      <w:pPr>
        <w:pStyle w:val="ListParagraph"/>
        <w:spacing w:after="200" w:line="276" w:lineRule="auto"/>
        <w:ind w:left="360"/>
        <w:rPr>
          <w:b/>
          <w:bCs/>
          <w:sz w:val="24"/>
          <w:szCs w:val="24"/>
          <w:u w:val="single"/>
        </w:rPr>
      </w:pPr>
      <w:r w:rsidRPr="001E5013">
        <w:rPr>
          <w:rFonts w:eastAsia="Calibri" w:cs="Times New Roman"/>
          <w:sz w:val="24"/>
          <w:szCs w:val="24"/>
        </w:rPr>
        <w:t xml:space="preserve">Districts are clearly allowed to teach state academic standards, including concepts such </w:t>
      </w:r>
      <w:r w:rsidR="0062788D">
        <w:rPr>
          <w:rFonts w:eastAsia="Calibri" w:cs="Times New Roman"/>
          <w:sz w:val="24"/>
          <w:szCs w:val="24"/>
        </w:rPr>
        <w:t xml:space="preserve">as </w:t>
      </w:r>
      <w:r w:rsidRPr="001E5013">
        <w:rPr>
          <w:rFonts w:eastAsia="Calibri" w:cs="Times New Roman"/>
          <w:sz w:val="24"/>
          <w:szCs w:val="24"/>
        </w:rPr>
        <w:t xml:space="preserve">the history of an ethnic group, the fact-based discussion of controversial aspects of history, and the impartial instruction of the historical oppression of a group of people based on race, ethnicity, and other characteristics. </w:t>
      </w:r>
      <w:r w:rsidR="001E5013">
        <w:rPr>
          <w:rFonts w:eastAsia="Calibri" w:cs="Times New Roman"/>
          <w:sz w:val="24"/>
          <w:szCs w:val="24"/>
        </w:rPr>
        <w:t xml:space="preserve"> </w:t>
      </w:r>
      <w:proofErr w:type="spellStart"/>
      <w:r w:rsidR="001E5013">
        <w:rPr>
          <w:rFonts w:eastAsia="Calibri" w:cs="Times New Roman"/>
          <w:sz w:val="24"/>
          <w:szCs w:val="24"/>
        </w:rPr>
        <w:t>SDE</w:t>
      </w:r>
      <w:proofErr w:type="spellEnd"/>
      <w:r w:rsidRPr="001E5013">
        <w:rPr>
          <w:rFonts w:eastAsia="Calibri" w:cs="Times New Roman"/>
          <w:sz w:val="24"/>
          <w:szCs w:val="24"/>
        </w:rPr>
        <w:t xml:space="preserve"> must develop model lesson plans accessible to districts.</w:t>
      </w:r>
      <w:r w:rsidR="001E5013">
        <w:rPr>
          <w:rFonts w:eastAsia="Calibri" w:cs="Times New Roman"/>
          <w:sz w:val="24"/>
          <w:szCs w:val="24"/>
        </w:rPr>
        <w:t xml:space="preserve">  </w:t>
      </w:r>
      <w:r w:rsidRPr="001E5013">
        <w:rPr>
          <w:rFonts w:eastAsia="Calibri" w:cs="Times New Roman"/>
          <w:sz w:val="24"/>
          <w:szCs w:val="24"/>
        </w:rPr>
        <w:t>Schools may not accept materials or technology that contain access to pornographic materia</w:t>
      </w:r>
      <w:r w:rsidR="001E5013">
        <w:rPr>
          <w:rFonts w:eastAsia="Calibri" w:cs="Times New Roman"/>
          <w:sz w:val="24"/>
          <w:szCs w:val="24"/>
        </w:rPr>
        <w:t>l</w:t>
      </w:r>
      <w:r w:rsidR="0062788D">
        <w:rPr>
          <w:rFonts w:eastAsia="Calibri" w:cs="Times New Roman"/>
          <w:sz w:val="24"/>
          <w:szCs w:val="24"/>
        </w:rPr>
        <w:t>.  Li</w:t>
      </w:r>
      <w:r w:rsidRPr="001E5013">
        <w:rPr>
          <w:rFonts w:eastAsia="Calibri" w:cs="Times New Roman"/>
          <w:sz w:val="24"/>
          <w:szCs w:val="24"/>
        </w:rPr>
        <w:t xml:space="preserve">brary material must be age appropriate. </w:t>
      </w:r>
    </w:p>
    <w:p w14:paraId="5D2E4DB0" w14:textId="7CEC2C27" w:rsidR="00C41475" w:rsidRDefault="00DD1FB7" w:rsidP="001E5013">
      <w:pPr>
        <w:spacing w:after="160" w:line="259" w:lineRule="auto"/>
        <w:ind w:left="360"/>
        <w:contextualSpacing/>
        <w:rPr>
          <w:rFonts w:eastAsia="Calibri" w:cs="Times New Roman"/>
          <w:sz w:val="24"/>
          <w:szCs w:val="24"/>
        </w:rPr>
      </w:pPr>
      <w:proofErr w:type="spellStart"/>
      <w:r w:rsidRPr="001E5013">
        <w:rPr>
          <w:rFonts w:eastAsia="Calibri" w:cs="Times New Roman"/>
          <w:sz w:val="24"/>
          <w:szCs w:val="24"/>
        </w:rPr>
        <w:t>SDE</w:t>
      </w:r>
      <w:proofErr w:type="spellEnd"/>
      <w:r w:rsidRPr="001E5013">
        <w:rPr>
          <w:rFonts w:eastAsia="Calibri" w:cs="Times New Roman"/>
          <w:sz w:val="24"/>
          <w:szCs w:val="24"/>
        </w:rPr>
        <w:t xml:space="preserve"> must develop a complaint policy and process for districts. </w:t>
      </w:r>
      <w:r w:rsidR="001E5013" w:rsidRPr="001E5013">
        <w:rPr>
          <w:rFonts w:eastAsia="Calibri" w:cs="Times New Roman"/>
          <w:sz w:val="24"/>
          <w:szCs w:val="24"/>
        </w:rPr>
        <w:t xml:space="preserve"> </w:t>
      </w:r>
      <w:r w:rsidRPr="001E5013">
        <w:rPr>
          <w:rFonts w:eastAsia="Calibri" w:cs="Times New Roman"/>
          <w:sz w:val="24"/>
          <w:szCs w:val="24"/>
        </w:rPr>
        <w:t>Districts must report information regarding complaints to the General Assembly.</w:t>
      </w:r>
      <w:r w:rsidR="001E5013" w:rsidRPr="001E5013">
        <w:rPr>
          <w:rFonts w:eastAsia="Calibri" w:cs="Times New Roman"/>
          <w:sz w:val="24"/>
          <w:szCs w:val="24"/>
        </w:rPr>
        <w:t xml:space="preserve"> </w:t>
      </w:r>
      <w:r w:rsidRPr="001E5013">
        <w:rPr>
          <w:rFonts w:eastAsia="Calibri" w:cs="Times New Roman"/>
          <w:sz w:val="24"/>
          <w:szCs w:val="24"/>
        </w:rPr>
        <w:t xml:space="preserve">If a complaint cannot be resolved locally, an appeal can be made to the State Board for a final determination.  If the district violates the law, it must work with </w:t>
      </w:r>
      <w:proofErr w:type="spellStart"/>
      <w:r w:rsidRPr="001E5013">
        <w:rPr>
          <w:rFonts w:eastAsia="Calibri" w:cs="Times New Roman"/>
          <w:sz w:val="24"/>
          <w:szCs w:val="24"/>
        </w:rPr>
        <w:t>SDE</w:t>
      </w:r>
      <w:proofErr w:type="spellEnd"/>
      <w:r w:rsidRPr="001E5013">
        <w:rPr>
          <w:rFonts w:eastAsia="Calibri" w:cs="Times New Roman"/>
          <w:sz w:val="24"/>
          <w:szCs w:val="24"/>
        </w:rPr>
        <w:t xml:space="preserve"> on a corrective action plan.</w:t>
      </w:r>
      <w:r w:rsidR="001E5013" w:rsidRPr="001E5013">
        <w:rPr>
          <w:rFonts w:eastAsia="Calibri" w:cs="Times New Roman"/>
          <w:sz w:val="24"/>
          <w:szCs w:val="24"/>
        </w:rPr>
        <w:t xml:space="preserve"> </w:t>
      </w:r>
      <w:r w:rsidRPr="001E5013">
        <w:rPr>
          <w:rFonts w:eastAsia="Calibri" w:cs="Times New Roman"/>
          <w:sz w:val="24"/>
          <w:szCs w:val="24"/>
        </w:rPr>
        <w:t>The department may withhold funds from a district if it fails to adhere to the corrective action plan.</w:t>
      </w:r>
      <w:r w:rsidR="001E5013" w:rsidRPr="001E5013">
        <w:rPr>
          <w:rFonts w:eastAsia="Calibri" w:cs="Times New Roman"/>
          <w:sz w:val="24"/>
          <w:szCs w:val="24"/>
        </w:rPr>
        <w:t xml:space="preserve"> </w:t>
      </w:r>
      <w:r w:rsidRPr="001E5013">
        <w:rPr>
          <w:rFonts w:eastAsia="Calibri" w:cs="Times New Roman"/>
          <w:sz w:val="24"/>
          <w:szCs w:val="24"/>
        </w:rPr>
        <w:t>Extra time is added for review of instructional materials.</w:t>
      </w:r>
    </w:p>
    <w:p w14:paraId="72D483E1" w14:textId="5DD44F50" w:rsidR="001E5013" w:rsidRDefault="001E5013" w:rsidP="001E5013">
      <w:pPr>
        <w:spacing w:after="160" w:line="259" w:lineRule="auto"/>
        <w:ind w:left="360"/>
        <w:contextualSpacing/>
        <w:rPr>
          <w:rFonts w:eastAsia="Calibri" w:cs="Times New Roman"/>
          <w:sz w:val="24"/>
          <w:szCs w:val="24"/>
        </w:rPr>
      </w:pPr>
    </w:p>
    <w:p w14:paraId="34F3A494" w14:textId="52A72C84" w:rsidR="001E5013" w:rsidRPr="001E5013" w:rsidRDefault="001E5013" w:rsidP="001E5013">
      <w:pPr>
        <w:spacing w:after="160" w:line="259" w:lineRule="auto"/>
        <w:ind w:left="360"/>
        <w:contextualSpacing/>
        <w:rPr>
          <w:rFonts w:eastAsia="Calibri" w:cs="Times New Roman"/>
          <w:b/>
          <w:bCs/>
          <w:i/>
          <w:iCs/>
          <w:sz w:val="24"/>
          <w:szCs w:val="24"/>
        </w:rPr>
      </w:pPr>
      <w:r w:rsidRPr="001E5013">
        <w:rPr>
          <w:rFonts w:eastAsia="Calibri" w:cs="Times New Roman"/>
          <w:b/>
          <w:bCs/>
          <w:i/>
          <w:iCs/>
          <w:sz w:val="24"/>
          <w:szCs w:val="24"/>
        </w:rPr>
        <w:t xml:space="preserve">(A Conference Committee was appointed </w:t>
      </w:r>
      <w:r w:rsidR="00CE2AAE">
        <w:rPr>
          <w:rFonts w:eastAsia="Calibri" w:cs="Times New Roman"/>
          <w:b/>
          <w:bCs/>
          <w:i/>
          <w:iCs/>
          <w:sz w:val="24"/>
          <w:szCs w:val="24"/>
        </w:rPr>
        <w:t>June 14</w:t>
      </w:r>
      <w:r w:rsidRPr="001E5013">
        <w:rPr>
          <w:rFonts w:eastAsia="Calibri" w:cs="Times New Roman"/>
          <w:b/>
          <w:bCs/>
          <w:i/>
          <w:iCs/>
          <w:sz w:val="24"/>
          <w:szCs w:val="24"/>
        </w:rPr>
        <w:t>, 2023)</w:t>
      </w:r>
    </w:p>
    <w:bookmarkEnd w:id="8"/>
    <w:p w14:paraId="5467304E" w14:textId="77777777" w:rsidR="00C41475" w:rsidRDefault="00C41475" w:rsidP="00B36A72">
      <w:pPr>
        <w:spacing w:after="200" w:line="276" w:lineRule="auto"/>
        <w:ind w:left="720"/>
        <w:rPr>
          <w:rFonts w:eastAsia="Calibri" w:cs="Times New Roman"/>
          <w:b/>
          <w:i/>
          <w:sz w:val="24"/>
          <w:szCs w:val="24"/>
        </w:rPr>
      </w:pPr>
    </w:p>
    <w:p w14:paraId="17A710FD" w14:textId="1BA5B56E" w:rsidR="00D4539A" w:rsidRDefault="00D4539A" w:rsidP="001E5013">
      <w:pPr>
        <w:spacing w:after="200" w:line="276" w:lineRule="auto"/>
        <w:jc w:val="center"/>
        <w:rPr>
          <w:sz w:val="24"/>
          <w:szCs w:val="24"/>
          <w:u w:val="single"/>
        </w:rPr>
      </w:pPr>
      <w:bookmarkStart w:id="9" w:name="_Hlk134791698"/>
      <w:r>
        <w:rPr>
          <w:sz w:val="24"/>
          <w:szCs w:val="24"/>
          <w:u w:val="single"/>
        </w:rPr>
        <w:t xml:space="preserve">BILLS </w:t>
      </w:r>
      <w:r w:rsidR="001E5013">
        <w:rPr>
          <w:sz w:val="24"/>
          <w:szCs w:val="24"/>
          <w:u w:val="single"/>
        </w:rPr>
        <w:t>ADOPTED BY THE HOUSE AND AWAITING</w:t>
      </w:r>
      <w:r>
        <w:rPr>
          <w:sz w:val="24"/>
          <w:szCs w:val="24"/>
          <w:u w:val="single"/>
        </w:rPr>
        <w:t xml:space="preserve"> SENATE </w:t>
      </w:r>
      <w:r w:rsidR="001E5013">
        <w:rPr>
          <w:sz w:val="24"/>
          <w:szCs w:val="24"/>
          <w:u w:val="single"/>
        </w:rPr>
        <w:t>ACTION</w:t>
      </w:r>
    </w:p>
    <w:bookmarkEnd w:id="9"/>
    <w:p w14:paraId="259EF146" w14:textId="69530091" w:rsidR="001E5013" w:rsidRPr="001E5013" w:rsidRDefault="004B60B2" w:rsidP="00E90E65">
      <w:pPr>
        <w:pStyle w:val="ListParagraph"/>
        <w:numPr>
          <w:ilvl w:val="0"/>
          <w:numId w:val="1"/>
        </w:numPr>
        <w:rPr>
          <w:rFonts w:cs="Times New Roman"/>
          <w:sz w:val="24"/>
          <w:szCs w:val="24"/>
        </w:rPr>
      </w:pPr>
      <w:r w:rsidRPr="001E5013">
        <w:rPr>
          <w:b/>
          <w:sz w:val="24"/>
          <w:szCs w:val="24"/>
        </w:rPr>
        <w:t xml:space="preserve">House bill </w:t>
      </w:r>
      <w:r w:rsidR="001E5013" w:rsidRPr="001E5013">
        <w:rPr>
          <w:b/>
          <w:sz w:val="24"/>
          <w:szCs w:val="24"/>
        </w:rPr>
        <w:t>3295</w:t>
      </w:r>
      <w:r w:rsidR="001E5013" w:rsidRPr="001E5013">
        <w:rPr>
          <w:rFonts w:cs="Times New Roman"/>
          <w:sz w:val="24"/>
          <w:szCs w:val="24"/>
        </w:rPr>
        <w:t xml:space="preserve"> allows the State Board of Education to waive applicable laws and regulations if a district is successful in its application to start a competency-based school.  When applying, districts must ensure Competency Based Education (CBE) for all students in a selected school and show parental consultation regarding implementation.  </w:t>
      </w:r>
    </w:p>
    <w:p w14:paraId="3049B4E3" w14:textId="77777777" w:rsidR="001E5013" w:rsidRPr="001E5013" w:rsidRDefault="001E5013" w:rsidP="001E5013">
      <w:pPr>
        <w:rPr>
          <w:rFonts w:cs="Times New Roman"/>
          <w:b/>
          <w:sz w:val="24"/>
          <w:szCs w:val="24"/>
        </w:rPr>
      </w:pPr>
    </w:p>
    <w:p w14:paraId="5D9AC027" w14:textId="77777777" w:rsidR="001E5013" w:rsidRPr="001E5013" w:rsidRDefault="001E5013" w:rsidP="001E5013">
      <w:pPr>
        <w:ind w:left="360"/>
        <w:rPr>
          <w:rFonts w:cs="Times New Roman"/>
          <w:sz w:val="24"/>
          <w:szCs w:val="24"/>
        </w:rPr>
      </w:pPr>
      <w:r w:rsidRPr="001E5013">
        <w:rPr>
          <w:rFonts w:cs="Times New Roman"/>
          <w:sz w:val="24"/>
          <w:szCs w:val="24"/>
        </w:rPr>
        <w:t>The bill states the following CBE core principles:</w:t>
      </w:r>
    </w:p>
    <w:p w14:paraId="14CA7B14" w14:textId="77777777" w:rsidR="001E5013" w:rsidRPr="001E5013" w:rsidRDefault="001E5013" w:rsidP="00DD048F">
      <w:pPr>
        <w:pStyle w:val="ListParagraph"/>
        <w:numPr>
          <w:ilvl w:val="0"/>
          <w:numId w:val="41"/>
        </w:numPr>
        <w:spacing w:after="200" w:line="276" w:lineRule="auto"/>
        <w:rPr>
          <w:rFonts w:cs="Times New Roman"/>
          <w:sz w:val="24"/>
          <w:szCs w:val="24"/>
        </w:rPr>
      </w:pPr>
      <w:r w:rsidRPr="001E5013">
        <w:rPr>
          <w:rFonts w:cs="Times New Roman"/>
          <w:sz w:val="24"/>
          <w:szCs w:val="24"/>
        </w:rPr>
        <w:t>Learning outcomes must emphasize competencies identified in the Profile of the Graduate.</w:t>
      </w:r>
    </w:p>
    <w:p w14:paraId="36E058C0" w14:textId="77777777" w:rsidR="001E5013" w:rsidRPr="001E5013" w:rsidRDefault="001E5013" w:rsidP="00DD048F">
      <w:pPr>
        <w:pStyle w:val="ListParagraph"/>
        <w:numPr>
          <w:ilvl w:val="0"/>
          <w:numId w:val="41"/>
        </w:numPr>
        <w:spacing w:after="200" w:line="276" w:lineRule="auto"/>
        <w:rPr>
          <w:rFonts w:cs="Times New Roman"/>
          <w:sz w:val="24"/>
          <w:szCs w:val="24"/>
        </w:rPr>
      </w:pPr>
      <w:r w:rsidRPr="001E5013">
        <w:rPr>
          <w:rFonts w:cs="Times New Roman"/>
          <w:sz w:val="24"/>
          <w:szCs w:val="24"/>
        </w:rPr>
        <w:t>Competencies must be explicit, measurable, and transferrable.</w:t>
      </w:r>
    </w:p>
    <w:p w14:paraId="57B99737" w14:textId="77777777" w:rsidR="001E5013" w:rsidRPr="001E5013" w:rsidRDefault="001E5013" w:rsidP="00DD048F">
      <w:pPr>
        <w:pStyle w:val="ListParagraph"/>
        <w:numPr>
          <w:ilvl w:val="0"/>
          <w:numId w:val="41"/>
        </w:numPr>
        <w:spacing w:after="200" w:line="276" w:lineRule="auto"/>
        <w:rPr>
          <w:rFonts w:cs="Times New Roman"/>
          <w:sz w:val="24"/>
          <w:szCs w:val="24"/>
        </w:rPr>
      </w:pPr>
      <w:r w:rsidRPr="001E5013">
        <w:rPr>
          <w:rFonts w:cs="Times New Roman"/>
          <w:sz w:val="24"/>
          <w:szCs w:val="24"/>
        </w:rPr>
        <w:t>Students must master competencies along a personalized and flexible pathway before advancing.</w:t>
      </w:r>
    </w:p>
    <w:p w14:paraId="05EAEE2E" w14:textId="77777777" w:rsidR="001E5013" w:rsidRPr="001E5013" w:rsidRDefault="001E5013" w:rsidP="00DD048F">
      <w:pPr>
        <w:pStyle w:val="ListParagraph"/>
        <w:numPr>
          <w:ilvl w:val="0"/>
          <w:numId w:val="41"/>
        </w:numPr>
        <w:spacing w:after="200" w:line="276" w:lineRule="auto"/>
        <w:rPr>
          <w:rFonts w:cs="Times New Roman"/>
          <w:sz w:val="24"/>
          <w:szCs w:val="24"/>
        </w:rPr>
      </w:pPr>
      <w:r w:rsidRPr="001E5013">
        <w:rPr>
          <w:rFonts w:cs="Times New Roman"/>
          <w:sz w:val="24"/>
          <w:szCs w:val="24"/>
        </w:rPr>
        <w:t>Assessments must be meaningful and used to personalize learning experiences.</w:t>
      </w:r>
    </w:p>
    <w:p w14:paraId="20BFFBFB" w14:textId="77777777" w:rsidR="001E5013" w:rsidRPr="001E5013" w:rsidRDefault="001E5013" w:rsidP="00DD048F">
      <w:pPr>
        <w:pStyle w:val="ListParagraph"/>
        <w:numPr>
          <w:ilvl w:val="0"/>
          <w:numId w:val="41"/>
        </w:numPr>
        <w:spacing w:after="200" w:line="276" w:lineRule="auto"/>
        <w:rPr>
          <w:rFonts w:cs="Times New Roman"/>
          <w:sz w:val="24"/>
          <w:szCs w:val="24"/>
        </w:rPr>
      </w:pPr>
      <w:r w:rsidRPr="001E5013">
        <w:rPr>
          <w:rFonts w:cs="Times New Roman"/>
          <w:sz w:val="24"/>
          <w:szCs w:val="24"/>
        </w:rPr>
        <w:t>Students must receive timely and personalized support based on their learning needs.</w:t>
      </w:r>
    </w:p>
    <w:p w14:paraId="07643949" w14:textId="77777777" w:rsidR="00CE2AAE" w:rsidRDefault="001E5013" w:rsidP="001E5013">
      <w:pPr>
        <w:ind w:left="360"/>
        <w:rPr>
          <w:rFonts w:cs="Times New Roman"/>
          <w:sz w:val="24"/>
          <w:szCs w:val="24"/>
        </w:rPr>
      </w:pPr>
      <w:r w:rsidRPr="001E5013">
        <w:rPr>
          <w:rFonts w:cs="Times New Roman"/>
          <w:sz w:val="24"/>
          <w:szCs w:val="24"/>
        </w:rPr>
        <w:t xml:space="preserve">CBE schools cannot be exempted from anti-discrimination laws, or health, safety, civil rights, and disability rights requirements, and state and federal assessment requirements may not be waived.  All eligible students must be allowed to attend, and schools may not limit, deny, or show preference in admission.  </w:t>
      </w:r>
    </w:p>
    <w:p w14:paraId="4781C327" w14:textId="77777777" w:rsidR="00CE2AAE" w:rsidRDefault="00CE2AAE" w:rsidP="001E5013">
      <w:pPr>
        <w:ind w:left="360"/>
        <w:rPr>
          <w:rFonts w:cs="Times New Roman"/>
          <w:sz w:val="24"/>
          <w:szCs w:val="24"/>
        </w:rPr>
      </w:pPr>
    </w:p>
    <w:p w14:paraId="30129D22" w14:textId="4B9DBA7A" w:rsidR="001E5013" w:rsidRDefault="00ED3398" w:rsidP="001E5013">
      <w:pPr>
        <w:ind w:left="360"/>
        <w:rPr>
          <w:rFonts w:cs="Times New Roman"/>
          <w:sz w:val="24"/>
          <w:szCs w:val="24"/>
        </w:rPr>
      </w:pPr>
      <w:proofErr w:type="spellStart"/>
      <w:r>
        <w:rPr>
          <w:rFonts w:cs="Times New Roman"/>
          <w:sz w:val="24"/>
          <w:szCs w:val="24"/>
        </w:rPr>
        <w:t>SDE</w:t>
      </w:r>
      <w:proofErr w:type="spellEnd"/>
      <w:r w:rsidR="001E5013" w:rsidRPr="001E5013">
        <w:rPr>
          <w:rFonts w:cs="Times New Roman"/>
          <w:sz w:val="24"/>
          <w:szCs w:val="24"/>
        </w:rPr>
        <w:t xml:space="preserve"> shall create evaluation criteria, and schools </w:t>
      </w:r>
      <w:r>
        <w:rPr>
          <w:rFonts w:cs="Times New Roman"/>
          <w:sz w:val="24"/>
          <w:szCs w:val="24"/>
        </w:rPr>
        <w:t>are required to</w:t>
      </w:r>
      <w:r w:rsidR="001E5013" w:rsidRPr="001E5013">
        <w:rPr>
          <w:rFonts w:cs="Times New Roman"/>
          <w:sz w:val="24"/>
          <w:szCs w:val="24"/>
        </w:rPr>
        <w:t xml:space="preserve"> submit data for a biennial review.  If </w:t>
      </w:r>
      <w:r w:rsidR="00CE2AAE">
        <w:rPr>
          <w:rFonts w:cs="Times New Roman"/>
          <w:sz w:val="24"/>
          <w:szCs w:val="24"/>
        </w:rPr>
        <w:t xml:space="preserve">schools do </w:t>
      </w:r>
      <w:r w:rsidR="001E5013" w:rsidRPr="001E5013">
        <w:rPr>
          <w:rFonts w:cs="Times New Roman"/>
          <w:sz w:val="24"/>
          <w:szCs w:val="24"/>
        </w:rPr>
        <w:t xml:space="preserve">not perform as expected, </w:t>
      </w:r>
      <w:proofErr w:type="spellStart"/>
      <w:r w:rsidR="001E5013" w:rsidRPr="001E5013">
        <w:rPr>
          <w:rFonts w:cs="Times New Roman"/>
          <w:sz w:val="24"/>
          <w:szCs w:val="24"/>
        </w:rPr>
        <w:t>SDE</w:t>
      </w:r>
      <w:proofErr w:type="spellEnd"/>
      <w:r w:rsidR="001E5013" w:rsidRPr="001E5013">
        <w:rPr>
          <w:rFonts w:cs="Times New Roman"/>
          <w:sz w:val="24"/>
          <w:szCs w:val="24"/>
        </w:rPr>
        <w:t xml:space="preserve"> may request revocation of the waiver</w:t>
      </w:r>
      <w:r w:rsidR="00D14D82">
        <w:rPr>
          <w:rFonts w:cs="Times New Roman"/>
          <w:sz w:val="24"/>
          <w:szCs w:val="24"/>
        </w:rPr>
        <w:t>.</w:t>
      </w:r>
    </w:p>
    <w:p w14:paraId="5522E144" w14:textId="23CA974D" w:rsidR="001E5013" w:rsidRPr="001E5013" w:rsidRDefault="001E5013" w:rsidP="001E5013">
      <w:pPr>
        <w:ind w:left="360"/>
        <w:rPr>
          <w:rFonts w:cs="Times New Roman"/>
          <w:sz w:val="24"/>
          <w:szCs w:val="24"/>
        </w:rPr>
      </w:pPr>
      <w:r w:rsidRPr="001E5013">
        <w:rPr>
          <w:rFonts w:cs="Times New Roman"/>
          <w:sz w:val="24"/>
          <w:szCs w:val="24"/>
        </w:rPr>
        <w:lastRenderedPageBreak/>
        <w:t xml:space="preserve">State and federal assessments are still required. CHE and the State </w:t>
      </w:r>
      <w:r w:rsidR="00ED3398">
        <w:rPr>
          <w:rFonts w:cs="Times New Roman"/>
          <w:sz w:val="24"/>
          <w:szCs w:val="24"/>
        </w:rPr>
        <w:t xml:space="preserve">Board for Technical and Comprehensive </w:t>
      </w:r>
      <w:r w:rsidR="0086633D">
        <w:rPr>
          <w:rFonts w:cs="Times New Roman"/>
          <w:sz w:val="24"/>
          <w:szCs w:val="24"/>
        </w:rPr>
        <w:t xml:space="preserve">Education </w:t>
      </w:r>
      <w:r w:rsidR="0086633D" w:rsidRPr="001E5013">
        <w:rPr>
          <w:rFonts w:cs="Times New Roman"/>
          <w:sz w:val="24"/>
          <w:szCs w:val="24"/>
        </w:rPr>
        <w:t>must</w:t>
      </w:r>
      <w:r w:rsidRPr="001E5013">
        <w:rPr>
          <w:rFonts w:cs="Times New Roman"/>
          <w:sz w:val="24"/>
          <w:szCs w:val="24"/>
        </w:rPr>
        <w:t xml:space="preserve"> establish policies providing fair and equitable access for admission, scholarships, and financial aid for students with CBE credit or diplomas.</w:t>
      </w:r>
    </w:p>
    <w:p w14:paraId="068E0E02" w14:textId="77777777" w:rsidR="00ED3398" w:rsidRDefault="00ED3398" w:rsidP="001E5013">
      <w:pPr>
        <w:ind w:left="360"/>
        <w:rPr>
          <w:rFonts w:cs="Times New Roman"/>
          <w:sz w:val="24"/>
          <w:szCs w:val="24"/>
        </w:rPr>
      </w:pPr>
    </w:p>
    <w:p w14:paraId="3628D39B" w14:textId="6F414DF3" w:rsidR="001E5013" w:rsidRPr="001E5013" w:rsidRDefault="001E5013" w:rsidP="001E5013">
      <w:pPr>
        <w:ind w:left="360"/>
        <w:rPr>
          <w:rFonts w:cs="Times New Roman"/>
          <w:sz w:val="24"/>
          <w:szCs w:val="24"/>
        </w:rPr>
      </w:pPr>
      <w:r w:rsidRPr="001E5013">
        <w:rPr>
          <w:rFonts w:cs="Times New Roman"/>
          <w:sz w:val="24"/>
          <w:szCs w:val="24"/>
        </w:rPr>
        <w:t>Students may earn credits for the successful completion of courses through traditional means or a</w:t>
      </w:r>
      <w:r w:rsidR="00ED3398">
        <w:rPr>
          <w:rFonts w:cs="Times New Roman"/>
          <w:sz w:val="24"/>
          <w:szCs w:val="24"/>
        </w:rPr>
        <w:t xml:space="preserve">n </w:t>
      </w:r>
      <w:r w:rsidRPr="001E5013">
        <w:rPr>
          <w:rFonts w:cs="Times New Roman"/>
          <w:sz w:val="24"/>
          <w:szCs w:val="24"/>
        </w:rPr>
        <w:t>assessment that shows mastery of standards.  This may include methods and documentation such as tests, interviews, peer evaluations, writing samples, reports, or portfolios.</w:t>
      </w:r>
      <w:r w:rsidRPr="001E5013">
        <w:rPr>
          <w:rFonts w:cs="Times New Roman"/>
          <w:bCs/>
          <w:sz w:val="24"/>
          <w:szCs w:val="24"/>
        </w:rPr>
        <w:t xml:space="preserve"> Unless waived, s</w:t>
      </w:r>
      <w:r w:rsidRPr="001E5013">
        <w:rPr>
          <w:rFonts w:cs="Times New Roman"/>
          <w:sz w:val="24"/>
          <w:szCs w:val="24"/>
        </w:rPr>
        <w:t>chools must still ensure that at least 1</w:t>
      </w:r>
      <w:r w:rsidR="00ED3398">
        <w:rPr>
          <w:rFonts w:cs="Times New Roman"/>
          <w:sz w:val="24"/>
          <w:szCs w:val="24"/>
        </w:rPr>
        <w:t>,</w:t>
      </w:r>
      <w:r w:rsidRPr="001E5013">
        <w:rPr>
          <w:rFonts w:cs="Times New Roman"/>
          <w:sz w:val="24"/>
          <w:szCs w:val="24"/>
        </w:rPr>
        <w:t>080 instructional hours are completed during the year.</w:t>
      </w:r>
    </w:p>
    <w:p w14:paraId="7E74E350" w14:textId="77777777" w:rsidR="001E5013" w:rsidRPr="001E5013" w:rsidRDefault="001E5013" w:rsidP="001E5013">
      <w:pPr>
        <w:jc w:val="both"/>
        <w:rPr>
          <w:rFonts w:eastAsia="Calibri" w:cs="Times New Roman"/>
          <w:sz w:val="24"/>
          <w:szCs w:val="24"/>
        </w:rPr>
      </w:pPr>
    </w:p>
    <w:p w14:paraId="13A80E16" w14:textId="036C0970" w:rsidR="002E35E2" w:rsidRDefault="004B60B2" w:rsidP="00034D03">
      <w:pPr>
        <w:spacing w:after="200" w:line="276" w:lineRule="auto"/>
        <w:ind w:left="360"/>
        <w:rPr>
          <w:rFonts w:eastAsia="Calibri" w:cs="Times New Roman"/>
          <w:b/>
          <w:i/>
          <w:sz w:val="24"/>
          <w:szCs w:val="24"/>
        </w:rPr>
      </w:pPr>
      <w:r w:rsidRPr="004B60B2">
        <w:rPr>
          <w:rFonts w:eastAsia="Calibri" w:cs="Times New Roman"/>
          <w:b/>
          <w:i/>
          <w:sz w:val="24"/>
          <w:szCs w:val="24"/>
        </w:rPr>
        <w:t xml:space="preserve">(H. </w:t>
      </w:r>
      <w:r w:rsidR="001E5013">
        <w:rPr>
          <w:rFonts w:eastAsia="Calibri" w:cs="Times New Roman"/>
          <w:b/>
          <w:i/>
          <w:sz w:val="24"/>
          <w:szCs w:val="24"/>
        </w:rPr>
        <w:t>3295</w:t>
      </w:r>
      <w:r w:rsidRPr="004B60B2">
        <w:rPr>
          <w:rFonts w:eastAsia="Calibri" w:cs="Times New Roman"/>
          <w:b/>
          <w:i/>
          <w:sz w:val="24"/>
          <w:szCs w:val="24"/>
        </w:rPr>
        <w:t xml:space="preserve"> was adopted on </w:t>
      </w:r>
      <w:r w:rsidR="001E5013">
        <w:rPr>
          <w:rFonts w:eastAsia="Calibri" w:cs="Times New Roman"/>
          <w:b/>
          <w:i/>
          <w:sz w:val="24"/>
          <w:szCs w:val="24"/>
        </w:rPr>
        <w:t>March 30</w:t>
      </w:r>
      <w:r w:rsidRPr="004B60B2">
        <w:rPr>
          <w:rFonts w:eastAsia="Calibri" w:cs="Times New Roman"/>
          <w:b/>
          <w:i/>
          <w:sz w:val="24"/>
          <w:szCs w:val="24"/>
        </w:rPr>
        <w:t>,</w:t>
      </w:r>
      <w:r w:rsidR="008E047E">
        <w:rPr>
          <w:rFonts w:eastAsia="Calibri" w:cs="Times New Roman"/>
          <w:b/>
          <w:i/>
          <w:sz w:val="24"/>
          <w:szCs w:val="24"/>
        </w:rPr>
        <w:t xml:space="preserve"> 202</w:t>
      </w:r>
      <w:r w:rsidR="001E5013">
        <w:rPr>
          <w:rFonts w:eastAsia="Calibri" w:cs="Times New Roman"/>
          <w:b/>
          <w:i/>
          <w:sz w:val="24"/>
          <w:szCs w:val="24"/>
        </w:rPr>
        <w:t>3</w:t>
      </w:r>
      <w:r w:rsidR="008E047E">
        <w:rPr>
          <w:rFonts w:eastAsia="Calibri" w:cs="Times New Roman"/>
          <w:b/>
          <w:i/>
          <w:sz w:val="24"/>
          <w:szCs w:val="24"/>
        </w:rPr>
        <w:t>,</w:t>
      </w:r>
      <w:r w:rsidRPr="004B60B2">
        <w:rPr>
          <w:rFonts w:eastAsia="Calibri" w:cs="Times New Roman"/>
          <w:b/>
          <w:i/>
          <w:sz w:val="24"/>
          <w:szCs w:val="24"/>
        </w:rPr>
        <w:t xml:space="preserve"> and referred to</w:t>
      </w:r>
      <w:r w:rsidR="00744DC7">
        <w:rPr>
          <w:rFonts w:eastAsia="Calibri" w:cs="Times New Roman"/>
          <w:b/>
          <w:i/>
          <w:sz w:val="24"/>
          <w:szCs w:val="24"/>
        </w:rPr>
        <w:t xml:space="preserve"> the</w:t>
      </w:r>
      <w:r w:rsidRPr="004B60B2">
        <w:rPr>
          <w:rFonts w:eastAsia="Calibri" w:cs="Times New Roman"/>
          <w:b/>
          <w:i/>
          <w:sz w:val="24"/>
          <w:szCs w:val="24"/>
        </w:rPr>
        <w:t xml:space="preserve"> Senate Education</w:t>
      </w:r>
      <w:r w:rsidR="00744DC7">
        <w:rPr>
          <w:rFonts w:eastAsia="Calibri" w:cs="Times New Roman"/>
          <w:b/>
          <w:i/>
          <w:sz w:val="24"/>
          <w:szCs w:val="24"/>
        </w:rPr>
        <w:t xml:space="preserve"> Committee</w:t>
      </w:r>
      <w:r w:rsidRPr="004B60B2">
        <w:rPr>
          <w:rFonts w:eastAsia="Calibri" w:cs="Times New Roman"/>
          <w:b/>
          <w:i/>
          <w:sz w:val="24"/>
          <w:szCs w:val="24"/>
        </w:rPr>
        <w:t>.)</w:t>
      </w:r>
    </w:p>
    <w:p w14:paraId="7C260BD9" w14:textId="0DABD9F5" w:rsidR="00391B5A" w:rsidRDefault="00D4539A" w:rsidP="00E90E65">
      <w:pPr>
        <w:pStyle w:val="ListParagraph"/>
        <w:numPr>
          <w:ilvl w:val="0"/>
          <w:numId w:val="23"/>
        </w:numPr>
        <w:rPr>
          <w:rFonts w:cs="Times New Roman"/>
          <w:sz w:val="24"/>
          <w:szCs w:val="24"/>
        </w:rPr>
      </w:pPr>
      <w:r w:rsidRPr="00391B5A">
        <w:rPr>
          <w:b/>
          <w:sz w:val="24"/>
          <w:szCs w:val="24"/>
        </w:rPr>
        <w:t>House bill 3</w:t>
      </w:r>
      <w:r w:rsidR="00391B5A" w:rsidRPr="00391B5A">
        <w:rPr>
          <w:b/>
          <w:sz w:val="24"/>
          <w:szCs w:val="24"/>
        </w:rPr>
        <w:t xml:space="preserve">843 </w:t>
      </w:r>
      <w:r w:rsidR="00391B5A" w:rsidRPr="00391B5A">
        <w:rPr>
          <w:rFonts w:cs="Times New Roman"/>
          <w:sz w:val="24"/>
          <w:szCs w:val="24"/>
        </w:rPr>
        <w:t xml:space="preserve">amends statutes regarding students who attend public schools outside of their attendance zone and school district.  </w:t>
      </w:r>
      <w:r w:rsidR="00ED3398">
        <w:rPr>
          <w:rFonts w:cs="Times New Roman"/>
          <w:sz w:val="24"/>
          <w:szCs w:val="24"/>
        </w:rPr>
        <w:t>Local s</w:t>
      </w:r>
      <w:r w:rsidR="00391B5A" w:rsidRPr="00391B5A">
        <w:rPr>
          <w:rFonts w:cs="Times New Roman"/>
          <w:sz w:val="24"/>
          <w:szCs w:val="24"/>
        </w:rPr>
        <w:t xml:space="preserve">chool boards </w:t>
      </w:r>
      <w:r w:rsidR="00925C16">
        <w:rPr>
          <w:rFonts w:cs="Times New Roman"/>
          <w:sz w:val="24"/>
          <w:szCs w:val="24"/>
        </w:rPr>
        <w:t>must</w:t>
      </w:r>
      <w:r w:rsidR="00391B5A" w:rsidRPr="00391B5A">
        <w:rPr>
          <w:rFonts w:cs="Times New Roman"/>
          <w:sz w:val="24"/>
          <w:szCs w:val="24"/>
        </w:rPr>
        <w:t xml:space="preserve"> adopt an open enrollment policy by the 2023-24 school year that is based on the requirements set forth in the legislation.  </w:t>
      </w:r>
      <w:proofErr w:type="spellStart"/>
      <w:r w:rsidR="00391B5A" w:rsidRPr="00391B5A">
        <w:rPr>
          <w:rFonts w:cs="Times New Roman"/>
          <w:sz w:val="24"/>
          <w:szCs w:val="24"/>
        </w:rPr>
        <w:t>SDE</w:t>
      </w:r>
      <w:proofErr w:type="spellEnd"/>
      <w:r w:rsidR="00391B5A" w:rsidRPr="00391B5A">
        <w:rPr>
          <w:rFonts w:cs="Times New Roman"/>
          <w:sz w:val="24"/>
          <w:szCs w:val="24"/>
        </w:rPr>
        <w:t xml:space="preserve"> must develop a template to assist districts and include all district open enrollment policies on its website portal</w:t>
      </w:r>
      <w:r w:rsidR="00391B5A">
        <w:rPr>
          <w:rFonts w:cs="Times New Roman"/>
          <w:sz w:val="24"/>
          <w:szCs w:val="24"/>
        </w:rPr>
        <w:t>.</w:t>
      </w:r>
    </w:p>
    <w:p w14:paraId="01DA3904" w14:textId="77777777" w:rsidR="00391B5A" w:rsidRDefault="00391B5A" w:rsidP="00391B5A">
      <w:pPr>
        <w:pStyle w:val="ListParagraph"/>
        <w:ind w:left="360"/>
        <w:rPr>
          <w:b/>
          <w:sz w:val="24"/>
          <w:szCs w:val="24"/>
        </w:rPr>
      </w:pPr>
    </w:p>
    <w:p w14:paraId="11B402A8" w14:textId="1D627C5A" w:rsidR="00391B5A" w:rsidRPr="00391B5A" w:rsidRDefault="00391B5A" w:rsidP="00391B5A">
      <w:pPr>
        <w:pStyle w:val="ListParagraph"/>
        <w:ind w:left="360"/>
        <w:rPr>
          <w:rFonts w:cs="Times New Roman"/>
          <w:sz w:val="24"/>
          <w:szCs w:val="24"/>
        </w:rPr>
      </w:pPr>
      <w:r w:rsidRPr="00391B5A">
        <w:rPr>
          <w:rFonts w:cs="Times New Roman"/>
          <w:sz w:val="24"/>
          <w:szCs w:val="24"/>
        </w:rPr>
        <w:t>A</w:t>
      </w:r>
      <w:r>
        <w:rPr>
          <w:rFonts w:cs="Times New Roman"/>
          <w:sz w:val="24"/>
          <w:szCs w:val="24"/>
        </w:rPr>
        <w:t>n</w:t>
      </w:r>
      <w:r w:rsidRPr="00391B5A">
        <w:rPr>
          <w:rFonts w:cs="Times New Roman"/>
          <w:sz w:val="24"/>
          <w:szCs w:val="24"/>
        </w:rPr>
        <w:t xml:space="preserve"> open enrollment policy </w:t>
      </w:r>
      <w:r>
        <w:rPr>
          <w:rFonts w:cs="Times New Roman"/>
          <w:sz w:val="24"/>
          <w:szCs w:val="24"/>
        </w:rPr>
        <w:t>must</w:t>
      </w:r>
      <w:r w:rsidRPr="00391B5A">
        <w:rPr>
          <w:rFonts w:cs="Times New Roman"/>
          <w:sz w:val="24"/>
          <w:szCs w:val="24"/>
        </w:rPr>
        <w:t xml:space="preserve"> adhere to federal desegregation and other education requirements and be posted prominently on</w:t>
      </w:r>
      <w:r>
        <w:rPr>
          <w:rFonts w:cs="Times New Roman"/>
          <w:sz w:val="24"/>
          <w:szCs w:val="24"/>
        </w:rPr>
        <w:t xml:space="preserve"> a district’s</w:t>
      </w:r>
      <w:r w:rsidRPr="00391B5A">
        <w:rPr>
          <w:rFonts w:cs="Times New Roman"/>
          <w:sz w:val="24"/>
          <w:szCs w:val="24"/>
        </w:rPr>
        <w:t xml:space="preserve"> website.  Among the items to be posted are the following:</w:t>
      </w:r>
    </w:p>
    <w:p w14:paraId="41D69749" w14:textId="77777777" w:rsidR="00391B5A" w:rsidRPr="00391B5A" w:rsidRDefault="00391B5A" w:rsidP="00E90E65">
      <w:pPr>
        <w:pStyle w:val="ListParagraph"/>
        <w:numPr>
          <w:ilvl w:val="0"/>
          <w:numId w:val="24"/>
        </w:numPr>
        <w:spacing w:after="200" w:line="276" w:lineRule="auto"/>
        <w:rPr>
          <w:rFonts w:cs="Times New Roman"/>
          <w:sz w:val="24"/>
          <w:szCs w:val="24"/>
        </w:rPr>
      </w:pPr>
      <w:r w:rsidRPr="00391B5A">
        <w:rPr>
          <w:rFonts w:cs="Times New Roman"/>
          <w:sz w:val="24"/>
          <w:szCs w:val="24"/>
        </w:rPr>
        <w:t xml:space="preserve">A description of the application requirements and </w:t>
      </w:r>
      <w:proofErr w:type="gramStart"/>
      <w:r w:rsidRPr="00391B5A">
        <w:rPr>
          <w:rFonts w:cs="Times New Roman"/>
          <w:sz w:val="24"/>
          <w:szCs w:val="24"/>
        </w:rPr>
        <w:t>timeline;</w:t>
      </w:r>
      <w:proofErr w:type="gramEnd"/>
    </w:p>
    <w:p w14:paraId="6076A475" w14:textId="77777777" w:rsidR="00391B5A" w:rsidRPr="00391B5A" w:rsidRDefault="00391B5A" w:rsidP="00E90E65">
      <w:pPr>
        <w:pStyle w:val="ListParagraph"/>
        <w:numPr>
          <w:ilvl w:val="0"/>
          <w:numId w:val="24"/>
        </w:numPr>
        <w:spacing w:after="200" w:line="276" w:lineRule="auto"/>
        <w:rPr>
          <w:rFonts w:cs="Times New Roman"/>
          <w:sz w:val="24"/>
          <w:szCs w:val="24"/>
        </w:rPr>
      </w:pPr>
      <w:r w:rsidRPr="00391B5A">
        <w:rPr>
          <w:rFonts w:cs="Times New Roman"/>
          <w:sz w:val="24"/>
          <w:szCs w:val="24"/>
        </w:rPr>
        <w:t xml:space="preserve">A method for allowing parents to declare school </w:t>
      </w:r>
      <w:proofErr w:type="gramStart"/>
      <w:r w:rsidRPr="00391B5A">
        <w:rPr>
          <w:rFonts w:cs="Times New Roman"/>
          <w:sz w:val="24"/>
          <w:szCs w:val="24"/>
        </w:rPr>
        <w:t>preferences;</w:t>
      </w:r>
      <w:proofErr w:type="gramEnd"/>
    </w:p>
    <w:p w14:paraId="42900DA5" w14:textId="77777777" w:rsidR="00391B5A" w:rsidRPr="00391B5A" w:rsidRDefault="00391B5A" w:rsidP="00E90E65">
      <w:pPr>
        <w:pStyle w:val="ListParagraph"/>
        <w:numPr>
          <w:ilvl w:val="0"/>
          <w:numId w:val="24"/>
        </w:numPr>
        <w:spacing w:after="200" w:line="276" w:lineRule="auto"/>
        <w:rPr>
          <w:rFonts w:cs="Times New Roman"/>
          <w:sz w:val="24"/>
          <w:szCs w:val="24"/>
        </w:rPr>
      </w:pPr>
      <w:r w:rsidRPr="00391B5A">
        <w:rPr>
          <w:rFonts w:cs="Times New Roman"/>
          <w:sz w:val="24"/>
          <w:szCs w:val="24"/>
        </w:rPr>
        <w:t xml:space="preserve">Lottery and wait list </w:t>
      </w:r>
      <w:proofErr w:type="gramStart"/>
      <w:r w:rsidRPr="00391B5A">
        <w:rPr>
          <w:rFonts w:cs="Times New Roman"/>
          <w:sz w:val="24"/>
          <w:szCs w:val="24"/>
        </w:rPr>
        <w:t>policies;</w:t>
      </w:r>
      <w:proofErr w:type="gramEnd"/>
    </w:p>
    <w:p w14:paraId="2B68576C" w14:textId="77777777" w:rsidR="00391B5A" w:rsidRPr="00391B5A" w:rsidRDefault="00391B5A" w:rsidP="00E90E65">
      <w:pPr>
        <w:pStyle w:val="ListParagraph"/>
        <w:numPr>
          <w:ilvl w:val="0"/>
          <w:numId w:val="24"/>
        </w:numPr>
        <w:spacing w:after="200" w:line="276" w:lineRule="auto"/>
        <w:rPr>
          <w:rFonts w:cs="Times New Roman"/>
          <w:sz w:val="24"/>
          <w:szCs w:val="24"/>
        </w:rPr>
      </w:pPr>
      <w:r w:rsidRPr="00391B5A">
        <w:rPr>
          <w:rFonts w:cs="Times New Roman"/>
          <w:sz w:val="24"/>
          <w:szCs w:val="24"/>
        </w:rPr>
        <w:t>Whether a nonresident fee will be charged to cover costs of enrollment; and,</w:t>
      </w:r>
    </w:p>
    <w:p w14:paraId="5CEE93F6" w14:textId="77777777" w:rsidR="00391B5A" w:rsidRPr="00391B5A" w:rsidRDefault="00391B5A" w:rsidP="00E90E65">
      <w:pPr>
        <w:pStyle w:val="ListParagraph"/>
        <w:numPr>
          <w:ilvl w:val="0"/>
          <w:numId w:val="24"/>
        </w:numPr>
        <w:spacing w:after="200" w:line="276" w:lineRule="auto"/>
        <w:rPr>
          <w:rFonts w:cs="Times New Roman"/>
          <w:sz w:val="24"/>
          <w:szCs w:val="24"/>
        </w:rPr>
      </w:pPr>
      <w:r w:rsidRPr="00391B5A">
        <w:rPr>
          <w:rFonts w:cs="Times New Roman"/>
          <w:sz w:val="24"/>
          <w:szCs w:val="24"/>
        </w:rPr>
        <w:t>Whether there is a fee waiver or mitigation process.</w:t>
      </w:r>
    </w:p>
    <w:p w14:paraId="47AF3A61" w14:textId="73745C3D" w:rsidR="00391B5A" w:rsidRDefault="00391B5A" w:rsidP="00925C16">
      <w:pPr>
        <w:ind w:left="360"/>
        <w:rPr>
          <w:rFonts w:cs="Times New Roman"/>
          <w:sz w:val="24"/>
          <w:szCs w:val="24"/>
        </w:rPr>
      </w:pPr>
      <w:r w:rsidRPr="00391B5A">
        <w:rPr>
          <w:rFonts w:cs="Times New Roman"/>
          <w:sz w:val="24"/>
          <w:szCs w:val="24"/>
        </w:rPr>
        <w:t>Districts are not required to transfer local funds for students enrolling elsewhere</w:t>
      </w:r>
      <w:r>
        <w:rPr>
          <w:rFonts w:cs="Times New Roman"/>
          <w:sz w:val="24"/>
          <w:szCs w:val="24"/>
        </w:rPr>
        <w:t xml:space="preserve">, and costs </w:t>
      </w:r>
      <w:r w:rsidRPr="00391B5A">
        <w:rPr>
          <w:rFonts w:eastAsia="Calibri" w:cs="Times New Roman"/>
          <w:sz w:val="24"/>
          <w:szCs w:val="24"/>
        </w:rPr>
        <w:t>charged to the student by the receiving district cannot exceed the local per pupil expenditure amount</w:t>
      </w:r>
      <w:r w:rsidRPr="00391B5A">
        <w:rPr>
          <w:rFonts w:cs="Times New Roman"/>
          <w:sz w:val="24"/>
          <w:szCs w:val="24"/>
        </w:rPr>
        <w:t>.  Districts may, but are not mandated to</w:t>
      </w:r>
      <w:r w:rsidR="00ED3398">
        <w:rPr>
          <w:rFonts w:cs="Times New Roman"/>
          <w:sz w:val="24"/>
          <w:szCs w:val="24"/>
        </w:rPr>
        <w:t>,</w:t>
      </w:r>
      <w:r w:rsidRPr="00391B5A">
        <w:rPr>
          <w:rFonts w:cs="Times New Roman"/>
          <w:sz w:val="24"/>
          <w:szCs w:val="24"/>
        </w:rPr>
        <w:t xml:space="preserve"> alter the structure of the school to create more space</w:t>
      </w:r>
      <w:r w:rsidR="00925C16">
        <w:rPr>
          <w:rFonts w:cs="Times New Roman"/>
          <w:sz w:val="24"/>
          <w:szCs w:val="24"/>
        </w:rPr>
        <w:t>, but</w:t>
      </w:r>
      <w:r w:rsidR="00ED3398">
        <w:rPr>
          <w:rFonts w:cs="Times New Roman"/>
          <w:sz w:val="24"/>
          <w:szCs w:val="24"/>
        </w:rPr>
        <w:t xml:space="preserve"> the</w:t>
      </w:r>
      <w:r w:rsidR="00925C16">
        <w:rPr>
          <w:rFonts w:cs="Times New Roman"/>
          <w:sz w:val="24"/>
          <w:szCs w:val="24"/>
        </w:rPr>
        <w:t xml:space="preserve"> e</w:t>
      </w:r>
      <w:r w:rsidR="00925C16" w:rsidRPr="00391B5A">
        <w:rPr>
          <w:rFonts w:eastAsia="Calibri" w:cs="Times New Roman"/>
          <w:sz w:val="24"/>
          <w:szCs w:val="24"/>
        </w:rPr>
        <w:t>xpansion of programs cannot result in schools exceeding regulations concerning teacher workload and class size</w:t>
      </w:r>
      <w:r w:rsidRPr="00391B5A">
        <w:rPr>
          <w:rFonts w:cs="Times New Roman"/>
          <w:sz w:val="24"/>
          <w:szCs w:val="24"/>
        </w:rPr>
        <w:t xml:space="preserve">.  Programs may be established, changed, or expanded and eligibility criteria may be waived.  </w:t>
      </w:r>
      <w:r w:rsidR="00925C16">
        <w:rPr>
          <w:rFonts w:cs="Times New Roman"/>
          <w:sz w:val="24"/>
          <w:szCs w:val="24"/>
        </w:rPr>
        <w:t>T</w:t>
      </w:r>
      <w:r w:rsidRPr="00391B5A">
        <w:rPr>
          <w:rFonts w:cs="Times New Roman"/>
          <w:sz w:val="24"/>
          <w:szCs w:val="24"/>
        </w:rPr>
        <w:t>ransportation may be provided to students outside of their attendance zones.</w:t>
      </w:r>
    </w:p>
    <w:p w14:paraId="5D2D70D9" w14:textId="77777777" w:rsidR="00391B5A" w:rsidRPr="00391B5A" w:rsidRDefault="00391B5A" w:rsidP="00925C16">
      <w:pPr>
        <w:ind w:left="360"/>
        <w:rPr>
          <w:rFonts w:cs="Times New Roman"/>
          <w:sz w:val="24"/>
          <w:szCs w:val="24"/>
        </w:rPr>
      </w:pPr>
    </w:p>
    <w:p w14:paraId="285F784D" w14:textId="77777777" w:rsidR="00391B5A" w:rsidRPr="00391B5A" w:rsidRDefault="00391B5A" w:rsidP="00925C16">
      <w:pPr>
        <w:ind w:left="360"/>
        <w:rPr>
          <w:rFonts w:cs="Times New Roman"/>
          <w:sz w:val="24"/>
          <w:szCs w:val="24"/>
        </w:rPr>
      </w:pPr>
      <w:r w:rsidRPr="00391B5A">
        <w:rPr>
          <w:rFonts w:cs="Times New Roman"/>
          <w:sz w:val="24"/>
          <w:szCs w:val="24"/>
        </w:rPr>
        <w:t>Existing students may not be displaced due to transfers.  Enrollment policies for students transferring from outside the attendance zone or district must be established using the following hierarchy:</w:t>
      </w:r>
    </w:p>
    <w:p w14:paraId="7196EC60" w14:textId="1BCAB294" w:rsidR="00391B5A" w:rsidRPr="00391B5A" w:rsidRDefault="00391B5A" w:rsidP="00E90E65">
      <w:pPr>
        <w:pStyle w:val="ListParagraph"/>
        <w:numPr>
          <w:ilvl w:val="0"/>
          <w:numId w:val="25"/>
        </w:numPr>
        <w:spacing w:after="200" w:line="276" w:lineRule="auto"/>
        <w:ind w:left="1080"/>
        <w:rPr>
          <w:rFonts w:cs="Times New Roman"/>
          <w:sz w:val="24"/>
          <w:szCs w:val="24"/>
        </w:rPr>
      </w:pPr>
      <w:r w:rsidRPr="00391B5A">
        <w:rPr>
          <w:rFonts w:cs="Times New Roman"/>
          <w:sz w:val="24"/>
          <w:szCs w:val="24"/>
        </w:rPr>
        <w:t>Siblings of students who reside in the same household and are already enrolled in the</w:t>
      </w:r>
      <w:r>
        <w:rPr>
          <w:rFonts w:cs="Times New Roman"/>
          <w:sz w:val="24"/>
          <w:szCs w:val="24"/>
        </w:rPr>
        <w:t xml:space="preserve"> </w:t>
      </w:r>
      <w:proofErr w:type="gramStart"/>
      <w:r>
        <w:rPr>
          <w:rFonts w:cs="Times New Roman"/>
          <w:sz w:val="24"/>
          <w:szCs w:val="24"/>
        </w:rPr>
        <w:t>school</w:t>
      </w:r>
      <w:r w:rsidRPr="00391B5A">
        <w:rPr>
          <w:rFonts w:cs="Times New Roman"/>
          <w:sz w:val="24"/>
          <w:szCs w:val="24"/>
        </w:rPr>
        <w:t>;</w:t>
      </w:r>
      <w:proofErr w:type="gramEnd"/>
    </w:p>
    <w:p w14:paraId="45F706E0" w14:textId="1EEED8B8" w:rsidR="00391B5A" w:rsidRPr="00391B5A" w:rsidRDefault="00391B5A" w:rsidP="00E90E65">
      <w:pPr>
        <w:pStyle w:val="ListParagraph"/>
        <w:numPr>
          <w:ilvl w:val="0"/>
          <w:numId w:val="25"/>
        </w:numPr>
        <w:spacing w:after="200" w:line="276" w:lineRule="auto"/>
        <w:ind w:left="1080"/>
        <w:rPr>
          <w:rFonts w:cs="Times New Roman"/>
          <w:sz w:val="24"/>
          <w:szCs w:val="24"/>
        </w:rPr>
      </w:pPr>
      <w:r w:rsidRPr="00391B5A">
        <w:rPr>
          <w:rFonts w:cs="Times New Roman"/>
          <w:sz w:val="24"/>
          <w:szCs w:val="24"/>
        </w:rPr>
        <w:t xml:space="preserve">Students who meet the program or school’s requirements and seek to attend the designated school in the district’s feeder </w:t>
      </w:r>
      <w:proofErr w:type="gramStart"/>
      <w:r w:rsidRPr="00391B5A">
        <w:rPr>
          <w:rFonts w:cs="Times New Roman"/>
          <w:sz w:val="24"/>
          <w:szCs w:val="24"/>
        </w:rPr>
        <w:t>pattern</w:t>
      </w:r>
      <w:r w:rsidR="0062788D">
        <w:rPr>
          <w:rFonts w:cs="Times New Roman"/>
          <w:sz w:val="24"/>
          <w:szCs w:val="24"/>
        </w:rPr>
        <w:t>;</w:t>
      </w:r>
      <w:proofErr w:type="gramEnd"/>
    </w:p>
    <w:p w14:paraId="30CF9DB6" w14:textId="77777777" w:rsidR="00391B5A" w:rsidRPr="00391B5A" w:rsidRDefault="00391B5A" w:rsidP="00E90E65">
      <w:pPr>
        <w:pStyle w:val="ListParagraph"/>
        <w:numPr>
          <w:ilvl w:val="0"/>
          <w:numId w:val="25"/>
        </w:numPr>
        <w:spacing w:after="200" w:line="276" w:lineRule="auto"/>
        <w:ind w:left="1080"/>
        <w:rPr>
          <w:rFonts w:cs="Times New Roman"/>
          <w:sz w:val="24"/>
          <w:szCs w:val="24"/>
        </w:rPr>
      </w:pPr>
      <w:r w:rsidRPr="00391B5A">
        <w:rPr>
          <w:rFonts w:cs="Times New Roman"/>
          <w:sz w:val="24"/>
          <w:szCs w:val="24"/>
        </w:rPr>
        <w:t xml:space="preserve">Students whose parents or guardians are assigned to the school as their primary place of </w:t>
      </w:r>
      <w:proofErr w:type="gramStart"/>
      <w:r w:rsidRPr="00391B5A">
        <w:rPr>
          <w:rFonts w:cs="Times New Roman"/>
          <w:sz w:val="24"/>
          <w:szCs w:val="24"/>
        </w:rPr>
        <w:t>employment;</w:t>
      </w:r>
      <w:proofErr w:type="gramEnd"/>
    </w:p>
    <w:p w14:paraId="27E21CE5" w14:textId="77777777" w:rsidR="00391B5A" w:rsidRPr="00391B5A" w:rsidRDefault="00391B5A" w:rsidP="00E90E65">
      <w:pPr>
        <w:pStyle w:val="ListParagraph"/>
        <w:numPr>
          <w:ilvl w:val="0"/>
          <w:numId w:val="25"/>
        </w:numPr>
        <w:spacing w:after="200" w:line="276" w:lineRule="auto"/>
        <w:ind w:left="1080"/>
        <w:rPr>
          <w:rFonts w:cs="Times New Roman"/>
          <w:sz w:val="24"/>
          <w:szCs w:val="24"/>
        </w:rPr>
      </w:pPr>
      <w:r w:rsidRPr="00391B5A">
        <w:rPr>
          <w:rFonts w:cs="Times New Roman"/>
          <w:sz w:val="24"/>
          <w:szCs w:val="24"/>
        </w:rPr>
        <w:t>Students selected by lottery.</w:t>
      </w:r>
    </w:p>
    <w:p w14:paraId="287B4580" w14:textId="27BAC98F" w:rsidR="00391B5A" w:rsidRPr="00391B5A" w:rsidRDefault="00925C16" w:rsidP="00925C16">
      <w:pPr>
        <w:ind w:left="360"/>
        <w:rPr>
          <w:rFonts w:cs="Times New Roman"/>
          <w:sz w:val="24"/>
          <w:szCs w:val="24"/>
        </w:rPr>
      </w:pPr>
      <w:r>
        <w:rPr>
          <w:rFonts w:cs="Times New Roman"/>
          <w:sz w:val="24"/>
          <w:szCs w:val="24"/>
        </w:rPr>
        <w:t>P</w:t>
      </w:r>
      <w:r w:rsidR="00391B5A" w:rsidRPr="00391B5A">
        <w:rPr>
          <w:rFonts w:cs="Times New Roman"/>
          <w:sz w:val="24"/>
          <w:szCs w:val="24"/>
        </w:rPr>
        <w:t>olicies may not have the purpose or effect of causing racial discrimination.  Districts deny</w:t>
      </w:r>
      <w:r w:rsidR="00ED3398">
        <w:rPr>
          <w:rFonts w:cs="Times New Roman"/>
          <w:sz w:val="24"/>
          <w:szCs w:val="24"/>
        </w:rPr>
        <w:t>ing</w:t>
      </w:r>
      <w:r w:rsidR="00391B5A" w:rsidRPr="00391B5A">
        <w:rPr>
          <w:rFonts w:cs="Times New Roman"/>
          <w:sz w:val="24"/>
          <w:szCs w:val="24"/>
        </w:rPr>
        <w:t xml:space="preserve"> enrollment must include specific reasons for the decision.  Denial may occur only in the following situations:</w:t>
      </w:r>
    </w:p>
    <w:p w14:paraId="1C25FDD8" w14:textId="77777777" w:rsidR="00391B5A" w:rsidRPr="00391B5A" w:rsidRDefault="00391B5A" w:rsidP="00E90E65">
      <w:pPr>
        <w:pStyle w:val="ListParagraph"/>
        <w:numPr>
          <w:ilvl w:val="0"/>
          <w:numId w:val="26"/>
        </w:numPr>
        <w:spacing w:after="200" w:line="276" w:lineRule="auto"/>
        <w:rPr>
          <w:rFonts w:cs="Times New Roman"/>
          <w:sz w:val="24"/>
          <w:szCs w:val="24"/>
        </w:rPr>
      </w:pPr>
      <w:r w:rsidRPr="00391B5A">
        <w:rPr>
          <w:rFonts w:cs="Times New Roman"/>
          <w:sz w:val="24"/>
          <w:szCs w:val="24"/>
        </w:rPr>
        <w:t xml:space="preserve">A documented lack of capacity in the school, level or </w:t>
      </w:r>
      <w:proofErr w:type="gramStart"/>
      <w:r w:rsidRPr="00391B5A">
        <w:rPr>
          <w:rFonts w:cs="Times New Roman"/>
          <w:sz w:val="24"/>
          <w:szCs w:val="24"/>
        </w:rPr>
        <w:t>program;</w:t>
      </w:r>
      <w:proofErr w:type="gramEnd"/>
    </w:p>
    <w:p w14:paraId="7887FFBD" w14:textId="77777777" w:rsidR="00391B5A" w:rsidRPr="00391B5A" w:rsidRDefault="00391B5A" w:rsidP="00E90E65">
      <w:pPr>
        <w:pStyle w:val="ListParagraph"/>
        <w:numPr>
          <w:ilvl w:val="0"/>
          <w:numId w:val="26"/>
        </w:numPr>
        <w:spacing w:after="200" w:line="276" w:lineRule="auto"/>
        <w:rPr>
          <w:rFonts w:cs="Times New Roman"/>
          <w:sz w:val="24"/>
          <w:szCs w:val="24"/>
        </w:rPr>
      </w:pPr>
      <w:r w:rsidRPr="00391B5A">
        <w:rPr>
          <w:rFonts w:cs="Times New Roman"/>
          <w:sz w:val="24"/>
          <w:szCs w:val="24"/>
        </w:rPr>
        <w:t xml:space="preserve">The school does not offer the </w:t>
      </w:r>
      <w:proofErr w:type="gramStart"/>
      <w:r w:rsidRPr="00391B5A">
        <w:rPr>
          <w:rFonts w:cs="Times New Roman"/>
          <w:sz w:val="24"/>
          <w:szCs w:val="24"/>
        </w:rPr>
        <w:t>program;</w:t>
      </w:r>
      <w:proofErr w:type="gramEnd"/>
    </w:p>
    <w:p w14:paraId="146ADF50" w14:textId="77777777" w:rsidR="00391B5A" w:rsidRPr="00391B5A" w:rsidRDefault="00391B5A" w:rsidP="00E90E65">
      <w:pPr>
        <w:pStyle w:val="ListParagraph"/>
        <w:numPr>
          <w:ilvl w:val="0"/>
          <w:numId w:val="26"/>
        </w:numPr>
        <w:spacing w:after="200" w:line="276" w:lineRule="auto"/>
        <w:rPr>
          <w:rFonts w:cs="Times New Roman"/>
          <w:sz w:val="24"/>
          <w:szCs w:val="24"/>
        </w:rPr>
      </w:pPr>
      <w:r w:rsidRPr="00391B5A">
        <w:rPr>
          <w:rFonts w:cs="Times New Roman"/>
          <w:sz w:val="24"/>
          <w:szCs w:val="24"/>
        </w:rPr>
        <w:t xml:space="preserve">The students </w:t>
      </w:r>
      <w:proofErr w:type="gramStart"/>
      <w:r w:rsidRPr="00391B5A">
        <w:rPr>
          <w:rFonts w:cs="Times New Roman"/>
          <w:sz w:val="24"/>
          <w:szCs w:val="24"/>
        </w:rPr>
        <w:t>does</w:t>
      </w:r>
      <w:proofErr w:type="gramEnd"/>
      <w:r w:rsidRPr="00391B5A">
        <w:rPr>
          <w:rFonts w:cs="Times New Roman"/>
          <w:sz w:val="24"/>
          <w:szCs w:val="24"/>
        </w:rPr>
        <w:t xml:space="preserve"> not meet established eligibility requirements for the program; or</w:t>
      </w:r>
    </w:p>
    <w:p w14:paraId="6305B808" w14:textId="77777777" w:rsidR="00391B5A" w:rsidRPr="00391B5A" w:rsidRDefault="00391B5A" w:rsidP="00E90E65">
      <w:pPr>
        <w:pStyle w:val="ListParagraph"/>
        <w:numPr>
          <w:ilvl w:val="0"/>
          <w:numId w:val="26"/>
        </w:numPr>
        <w:spacing w:after="200" w:line="276" w:lineRule="auto"/>
        <w:rPr>
          <w:rFonts w:cs="Times New Roman"/>
          <w:sz w:val="24"/>
          <w:szCs w:val="24"/>
        </w:rPr>
      </w:pPr>
      <w:r w:rsidRPr="00391B5A">
        <w:rPr>
          <w:rFonts w:cs="Times New Roman"/>
          <w:sz w:val="24"/>
          <w:szCs w:val="24"/>
        </w:rPr>
        <w:t>There is a desegregation plan in effect for the district and denial is necessary for compliance.</w:t>
      </w:r>
    </w:p>
    <w:p w14:paraId="75893F82" w14:textId="1C12D196" w:rsidR="00925C16" w:rsidRDefault="00925C16" w:rsidP="00925C16">
      <w:pPr>
        <w:ind w:left="360"/>
        <w:rPr>
          <w:rFonts w:eastAsia="Calibri" w:cs="Times New Roman"/>
          <w:sz w:val="24"/>
          <w:szCs w:val="24"/>
        </w:rPr>
      </w:pPr>
      <w:r w:rsidRPr="00925C16">
        <w:rPr>
          <w:rFonts w:eastAsia="Calibri" w:cs="Times New Roman"/>
          <w:sz w:val="24"/>
          <w:szCs w:val="24"/>
        </w:rPr>
        <w:t>A student who transfers to a different school one time in middle school or one time in high school may play</w:t>
      </w:r>
      <w:r w:rsidR="0062788D">
        <w:rPr>
          <w:rFonts w:eastAsia="Calibri" w:cs="Times New Roman"/>
          <w:sz w:val="24"/>
          <w:szCs w:val="24"/>
        </w:rPr>
        <w:t xml:space="preserve"> their sport </w:t>
      </w:r>
      <w:r w:rsidRPr="00925C16">
        <w:rPr>
          <w:rFonts w:eastAsia="Calibri" w:cs="Times New Roman"/>
          <w:sz w:val="24"/>
          <w:szCs w:val="24"/>
        </w:rPr>
        <w:t>for their new school without having to wait one academic year.</w:t>
      </w:r>
    </w:p>
    <w:p w14:paraId="6D71FF0B" w14:textId="438E81A5" w:rsidR="00391B5A" w:rsidRDefault="00391B5A" w:rsidP="00925C16">
      <w:pPr>
        <w:ind w:left="360"/>
        <w:rPr>
          <w:rFonts w:cs="Times New Roman"/>
          <w:bCs/>
          <w:sz w:val="24"/>
          <w:szCs w:val="24"/>
        </w:rPr>
      </w:pPr>
      <w:r w:rsidRPr="00391B5A">
        <w:rPr>
          <w:rFonts w:cs="Times New Roman"/>
          <w:bCs/>
          <w:sz w:val="24"/>
          <w:szCs w:val="24"/>
        </w:rPr>
        <w:lastRenderedPageBreak/>
        <w:t xml:space="preserve">Finally, state law that defines eligibility for public school attendance is amended to conform with the changes made by the bill.  This includes the termination of the provision that allows students to gain residence by owning real property </w:t>
      </w:r>
      <w:r w:rsidR="00ED3398">
        <w:rPr>
          <w:rFonts w:cs="Times New Roman"/>
          <w:bCs/>
          <w:sz w:val="24"/>
          <w:szCs w:val="24"/>
        </w:rPr>
        <w:t xml:space="preserve">in </w:t>
      </w:r>
      <w:r w:rsidRPr="00391B5A">
        <w:rPr>
          <w:rFonts w:cs="Times New Roman"/>
          <w:bCs/>
          <w:sz w:val="24"/>
          <w:szCs w:val="24"/>
        </w:rPr>
        <w:t>a school district.  Property will have to have been owned on or before June 30, 2024.</w:t>
      </w:r>
    </w:p>
    <w:p w14:paraId="68267273" w14:textId="77777777" w:rsidR="005C22A8" w:rsidRDefault="005C22A8" w:rsidP="005C22A8">
      <w:pPr>
        <w:pStyle w:val="ListParagraph"/>
        <w:spacing w:after="200" w:line="276" w:lineRule="auto"/>
        <w:ind w:left="360"/>
        <w:rPr>
          <w:rFonts w:eastAsia="Calibri" w:cs="Times New Roman"/>
          <w:sz w:val="24"/>
          <w:szCs w:val="24"/>
        </w:rPr>
      </w:pPr>
    </w:p>
    <w:p w14:paraId="26018623" w14:textId="502A78FA" w:rsidR="00D4539A" w:rsidRPr="005C22A8" w:rsidRDefault="00D4539A" w:rsidP="005C22A8">
      <w:pPr>
        <w:pStyle w:val="ListParagraph"/>
        <w:spacing w:after="200" w:line="276" w:lineRule="auto"/>
        <w:ind w:left="360"/>
        <w:rPr>
          <w:rFonts w:eastAsia="Calibri" w:cs="Times New Roman"/>
          <w:sz w:val="24"/>
          <w:szCs w:val="24"/>
        </w:rPr>
      </w:pPr>
      <w:r>
        <w:rPr>
          <w:rFonts w:eastAsia="Calibri" w:cs="Times New Roman"/>
          <w:b/>
          <w:i/>
          <w:sz w:val="24"/>
          <w:szCs w:val="24"/>
        </w:rPr>
        <w:t>(</w:t>
      </w:r>
      <w:r w:rsidR="004B60B2">
        <w:rPr>
          <w:rFonts w:eastAsia="Calibri" w:cs="Times New Roman"/>
          <w:b/>
          <w:i/>
          <w:sz w:val="24"/>
          <w:szCs w:val="24"/>
        </w:rPr>
        <w:t>H. 3</w:t>
      </w:r>
      <w:r w:rsidR="00925C16">
        <w:rPr>
          <w:rFonts w:eastAsia="Calibri" w:cs="Times New Roman"/>
          <w:b/>
          <w:i/>
          <w:sz w:val="24"/>
          <w:szCs w:val="24"/>
        </w:rPr>
        <w:t xml:space="preserve">843 </w:t>
      </w:r>
      <w:r w:rsidR="004B60B2">
        <w:rPr>
          <w:rFonts w:eastAsia="Calibri" w:cs="Times New Roman"/>
          <w:b/>
          <w:i/>
          <w:sz w:val="24"/>
          <w:szCs w:val="24"/>
        </w:rPr>
        <w:t xml:space="preserve">was adopted on </w:t>
      </w:r>
      <w:r w:rsidR="00925C16">
        <w:rPr>
          <w:rFonts w:eastAsia="Calibri" w:cs="Times New Roman"/>
          <w:b/>
          <w:i/>
          <w:sz w:val="24"/>
          <w:szCs w:val="24"/>
        </w:rPr>
        <w:t>March 30, 2023</w:t>
      </w:r>
      <w:r w:rsidR="004B60B2">
        <w:rPr>
          <w:rFonts w:eastAsia="Calibri" w:cs="Times New Roman"/>
          <w:b/>
          <w:i/>
          <w:sz w:val="24"/>
          <w:szCs w:val="24"/>
        </w:rPr>
        <w:t xml:space="preserve">, and referred to </w:t>
      </w:r>
      <w:r>
        <w:rPr>
          <w:rFonts w:eastAsia="Calibri" w:cs="Times New Roman"/>
          <w:b/>
          <w:i/>
          <w:sz w:val="24"/>
          <w:szCs w:val="24"/>
        </w:rPr>
        <w:t>the Senate Education Committee.)</w:t>
      </w:r>
    </w:p>
    <w:p w14:paraId="2383B6D2" w14:textId="77777777" w:rsidR="00F90199" w:rsidRDefault="00F90199" w:rsidP="004B60B2">
      <w:pPr>
        <w:pStyle w:val="ListParagraph"/>
        <w:spacing w:after="200" w:line="276" w:lineRule="auto"/>
        <w:rPr>
          <w:rFonts w:eastAsia="Calibri" w:cs="Times New Roman"/>
          <w:b/>
          <w:i/>
          <w:sz w:val="24"/>
          <w:szCs w:val="24"/>
        </w:rPr>
      </w:pPr>
    </w:p>
    <w:p w14:paraId="605B72A8" w14:textId="55601A8A" w:rsidR="00925C16" w:rsidRPr="00925C16" w:rsidRDefault="00F90199" w:rsidP="00E90E65">
      <w:pPr>
        <w:pStyle w:val="ListParagraph"/>
        <w:numPr>
          <w:ilvl w:val="0"/>
          <w:numId w:val="23"/>
        </w:numPr>
        <w:rPr>
          <w:rFonts w:cs="Times New Roman"/>
          <w:sz w:val="24"/>
          <w:szCs w:val="24"/>
        </w:rPr>
      </w:pPr>
      <w:r w:rsidRPr="00925C16">
        <w:rPr>
          <w:rFonts w:eastAsia="Calibri" w:cs="Times New Roman"/>
          <w:b/>
          <w:sz w:val="24"/>
          <w:szCs w:val="24"/>
        </w:rPr>
        <w:t>Hou</w:t>
      </w:r>
      <w:r w:rsidR="00C73610" w:rsidRPr="00925C16">
        <w:rPr>
          <w:rFonts w:eastAsia="Calibri" w:cs="Times New Roman"/>
          <w:b/>
          <w:sz w:val="24"/>
          <w:szCs w:val="24"/>
        </w:rPr>
        <w:t>s</w:t>
      </w:r>
      <w:r w:rsidRPr="00925C16">
        <w:rPr>
          <w:rFonts w:eastAsia="Calibri" w:cs="Times New Roman"/>
          <w:b/>
          <w:sz w:val="24"/>
          <w:szCs w:val="24"/>
        </w:rPr>
        <w:t xml:space="preserve">e bill </w:t>
      </w:r>
      <w:r w:rsidR="00925C16" w:rsidRPr="00925C16">
        <w:rPr>
          <w:rFonts w:eastAsia="Calibri" w:cs="Times New Roman"/>
          <w:b/>
          <w:sz w:val="24"/>
          <w:szCs w:val="24"/>
        </w:rPr>
        <w:t>4060</w:t>
      </w:r>
      <w:r w:rsidRPr="00925C16">
        <w:rPr>
          <w:rFonts w:eastAsia="Calibri" w:cs="Times New Roman"/>
          <w:b/>
          <w:sz w:val="24"/>
          <w:szCs w:val="24"/>
        </w:rPr>
        <w:t xml:space="preserve"> </w:t>
      </w:r>
      <w:r w:rsidR="00925C16" w:rsidRPr="00925C16">
        <w:rPr>
          <w:rFonts w:cs="Times New Roman"/>
          <w:sz w:val="24"/>
          <w:szCs w:val="24"/>
        </w:rPr>
        <w:t xml:space="preserve">is originally a product of the House’s State Economic Development and Utility Modernization Ad Hoc Committee.  The bill addresses improvements to the delivery of workforce education in K-12 and higher education.  </w:t>
      </w:r>
    </w:p>
    <w:p w14:paraId="62E705BC" w14:textId="77777777" w:rsidR="00925C16" w:rsidRPr="00925C16" w:rsidRDefault="00925C16" w:rsidP="00925C16">
      <w:pPr>
        <w:pStyle w:val="ListParagraph"/>
        <w:ind w:left="360"/>
        <w:rPr>
          <w:rFonts w:cs="Times New Roman"/>
          <w:sz w:val="24"/>
          <w:szCs w:val="24"/>
        </w:rPr>
      </w:pPr>
    </w:p>
    <w:p w14:paraId="2F4A7E0F" w14:textId="77777777" w:rsidR="00925C16" w:rsidRPr="00DD048F" w:rsidRDefault="00925C16" w:rsidP="00DD048F">
      <w:pPr>
        <w:spacing w:after="200" w:line="276" w:lineRule="auto"/>
        <w:ind w:left="360"/>
        <w:rPr>
          <w:rFonts w:cs="Times New Roman"/>
          <w:sz w:val="24"/>
          <w:szCs w:val="24"/>
        </w:rPr>
      </w:pPr>
      <w:r w:rsidRPr="00DD048F">
        <w:rPr>
          <w:rFonts w:cs="Times New Roman"/>
          <w:b/>
          <w:bCs/>
          <w:sz w:val="24"/>
          <w:szCs w:val="24"/>
          <w:u w:val="single"/>
        </w:rPr>
        <w:t>Section 1</w:t>
      </w:r>
      <w:r w:rsidRPr="00DD048F">
        <w:rPr>
          <w:rFonts w:cs="Times New Roman"/>
          <w:sz w:val="24"/>
          <w:szCs w:val="24"/>
        </w:rPr>
        <w:t>:  The bill codifies the state’s workforce readiness goal of at least 60 percent of all working age South Carolinians having a postsecondary degree or recognized industry credential before 2030.</w:t>
      </w:r>
    </w:p>
    <w:p w14:paraId="4E659BB8" w14:textId="098D084D" w:rsidR="00925C16" w:rsidRPr="00DD048F" w:rsidRDefault="00925C16" w:rsidP="00DD048F">
      <w:pPr>
        <w:spacing w:after="200" w:line="276" w:lineRule="auto"/>
        <w:ind w:left="360"/>
        <w:rPr>
          <w:rFonts w:cs="Times New Roman"/>
          <w:sz w:val="24"/>
          <w:szCs w:val="24"/>
        </w:rPr>
      </w:pPr>
      <w:r w:rsidRPr="00DD048F">
        <w:rPr>
          <w:rFonts w:cs="Times New Roman"/>
          <w:b/>
          <w:bCs/>
          <w:sz w:val="24"/>
          <w:szCs w:val="24"/>
          <w:u w:val="single"/>
        </w:rPr>
        <w:t>Section 2</w:t>
      </w:r>
      <w:r w:rsidRPr="00DD048F">
        <w:rPr>
          <w:rFonts w:cs="Times New Roman"/>
          <w:sz w:val="24"/>
          <w:szCs w:val="24"/>
        </w:rPr>
        <w:t xml:space="preserve">:  </w:t>
      </w:r>
      <w:proofErr w:type="spellStart"/>
      <w:r w:rsidRPr="00DD048F">
        <w:rPr>
          <w:rFonts w:cs="Times New Roman"/>
          <w:sz w:val="24"/>
          <w:szCs w:val="24"/>
        </w:rPr>
        <w:t>SDE</w:t>
      </w:r>
      <w:proofErr w:type="spellEnd"/>
      <w:r w:rsidRPr="00DD048F">
        <w:rPr>
          <w:rFonts w:cs="Times New Roman"/>
          <w:sz w:val="24"/>
          <w:szCs w:val="24"/>
        </w:rPr>
        <w:t xml:space="preserve"> must ensure that all public high schools provide remedial courses in language arts and math for students in their senior year of high school who desire to pursue postsecondary </w:t>
      </w:r>
      <w:proofErr w:type="gramStart"/>
      <w:r w:rsidRPr="00DD048F">
        <w:rPr>
          <w:rFonts w:cs="Times New Roman"/>
          <w:sz w:val="24"/>
          <w:szCs w:val="24"/>
        </w:rPr>
        <w:t>education, but</w:t>
      </w:r>
      <w:proofErr w:type="gramEnd"/>
      <w:r w:rsidRPr="00DD048F">
        <w:rPr>
          <w:rFonts w:cs="Times New Roman"/>
          <w:sz w:val="24"/>
          <w:szCs w:val="24"/>
        </w:rPr>
        <w:t xml:space="preserve"> are not ready for college‑level course work. The courses will be elective credits.  The State Board for Technical and Comprehensive Education (</w:t>
      </w:r>
      <w:proofErr w:type="spellStart"/>
      <w:r w:rsidRPr="00DD048F">
        <w:rPr>
          <w:rFonts w:cs="Times New Roman"/>
          <w:sz w:val="24"/>
          <w:szCs w:val="24"/>
        </w:rPr>
        <w:t>SBTCE</w:t>
      </w:r>
      <w:proofErr w:type="spellEnd"/>
      <w:r w:rsidRPr="00DD048F">
        <w:rPr>
          <w:rFonts w:cs="Times New Roman"/>
          <w:sz w:val="24"/>
          <w:szCs w:val="24"/>
        </w:rPr>
        <w:t xml:space="preserve">) must approve the courses adopted by </w:t>
      </w:r>
      <w:proofErr w:type="spellStart"/>
      <w:r w:rsidRPr="00DD048F">
        <w:rPr>
          <w:rFonts w:cs="Times New Roman"/>
          <w:sz w:val="24"/>
          <w:szCs w:val="24"/>
        </w:rPr>
        <w:t>SDE</w:t>
      </w:r>
      <w:proofErr w:type="spellEnd"/>
      <w:r w:rsidRPr="00DD048F">
        <w:rPr>
          <w:rFonts w:cs="Times New Roman"/>
          <w:sz w:val="24"/>
          <w:szCs w:val="24"/>
        </w:rPr>
        <w:t>.</w:t>
      </w:r>
    </w:p>
    <w:p w14:paraId="31783EB3" w14:textId="77777777" w:rsidR="00925C16" w:rsidRPr="00DD048F" w:rsidRDefault="00925C16" w:rsidP="00DD048F">
      <w:pPr>
        <w:spacing w:after="200" w:line="276" w:lineRule="auto"/>
        <w:ind w:left="360"/>
        <w:rPr>
          <w:rFonts w:cs="Times New Roman"/>
          <w:sz w:val="24"/>
          <w:szCs w:val="24"/>
        </w:rPr>
      </w:pPr>
      <w:r w:rsidRPr="00DD048F">
        <w:rPr>
          <w:rFonts w:cs="Times New Roman"/>
          <w:b/>
          <w:bCs/>
          <w:sz w:val="24"/>
          <w:szCs w:val="24"/>
          <w:u w:val="single"/>
        </w:rPr>
        <w:t>Section 3</w:t>
      </w:r>
      <w:r w:rsidRPr="00DD048F">
        <w:rPr>
          <w:rFonts w:cs="Times New Roman"/>
          <w:sz w:val="24"/>
          <w:szCs w:val="24"/>
        </w:rPr>
        <w:t>:  Each high school senior must complete and submit a Free Application for Federal Student Aid (</w:t>
      </w:r>
      <w:proofErr w:type="spellStart"/>
      <w:r w:rsidRPr="00DD048F">
        <w:rPr>
          <w:rFonts w:cs="Times New Roman"/>
          <w:sz w:val="24"/>
          <w:szCs w:val="24"/>
        </w:rPr>
        <w:t>FASFA</w:t>
      </w:r>
      <w:proofErr w:type="spellEnd"/>
      <w:r w:rsidRPr="00DD048F">
        <w:rPr>
          <w:rFonts w:cs="Times New Roman"/>
          <w:sz w:val="24"/>
          <w:szCs w:val="24"/>
        </w:rPr>
        <w:t>) before graduation.  Students are exempt from this requirement if their parent or guardian declines to complete the form, the school counselor exempts them for good cause, or a student who is 18 years of age exempts themselves.</w:t>
      </w:r>
    </w:p>
    <w:p w14:paraId="3BEC5935" w14:textId="77777777" w:rsidR="00925C16" w:rsidRPr="00DD048F" w:rsidRDefault="00925C16" w:rsidP="00DD048F">
      <w:pPr>
        <w:spacing w:after="200" w:line="276" w:lineRule="auto"/>
        <w:ind w:left="360"/>
        <w:rPr>
          <w:rFonts w:cs="Times New Roman"/>
          <w:sz w:val="24"/>
          <w:szCs w:val="24"/>
        </w:rPr>
      </w:pPr>
      <w:r w:rsidRPr="00DD048F">
        <w:rPr>
          <w:rFonts w:cs="Times New Roman"/>
          <w:b/>
          <w:bCs/>
          <w:sz w:val="24"/>
          <w:szCs w:val="24"/>
          <w:u w:val="single"/>
        </w:rPr>
        <w:t>Section 4</w:t>
      </w:r>
      <w:r w:rsidRPr="00DD048F">
        <w:rPr>
          <w:rFonts w:cs="Times New Roman"/>
          <w:sz w:val="24"/>
          <w:szCs w:val="24"/>
        </w:rPr>
        <w:t xml:space="preserve">:  Development and housing of the Educator Preparation Report Card is transferred from the Commission on Higher Education (CHE) to </w:t>
      </w:r>
      <w:proofErr w:type="spellStart"/>
      <w:r w:rsidRPr="00DD048F">
        <w:rPr>
          <w:rFonts w:cs="Times New Roman"/>
          <w:sz w:val="24"/>
          <w:szCs w:val="24"/>
        </w:rPr>
        <w:t>SDE</w:t>
      </w:r>
      <w:proofErr w:type="spellEnd"/>
      <w:r w:rsidRPr="00DD048F">
        <w:rPr>
          <w:rFonts w:cs="Times New Roman"/>
          <w:sz w:val="24"/>
          <w:szCs w:val="24"/>
        </w:rPr>
        <w:t>.</w:t>
      </w:r>
    </w:p>
    <w:p w14:paraId="797FC4F5" w14:textId="53CEEE8F" w:rsidR="00925C16" w:rsidRPr="00DD048F" w:rsidRDefault="00925C16" w:rsidP="00DD048F">
      <w:pPr>
        <w:spacing w:after="200" w:line="276" w:lineRule="auto"/>
        <w:ind w:left="360"/>
        <w:rPr>
          <w:rFonts w:cs="Times New Roman"/>
          <w:sz w:val="24"/>
          <w:szCs w:val="24"/>
        </w:rPr>
      </w:pPr>
      <w:r w:rsidRPr="00DD048F">
        <w:rPr>
          <w:rFonts w:cs="Times New Roman"/>
          <w:b/>
          <w:bCs/>
          <w:sz w:val="24"/>
          <w:szCs w:val="24"/>
          <w:u w:val="single"/>
        </w:rPr>
        <w:t>Section 5</w:t>
      </w:r>
      <w:r w:rsidRPr="00DD048F">
        <w:rPr>
          <w:rFonts w:cs="Times New Roman"/>
          <w:sz w:val="24"/>
          <w:szCs w:val="24"/>
        </w:rPr>
        <w:t xml:space="preserve">:  </w:t>
      </w:r>
      <w:proofErr w:type="spellStart"/>
      <w:r w:rsidRPr="00DD048F">
        <w:rPr>
          <w:rFonts w:cs="Times New Roman"/>
          <w:sz w:val="24"/>
          <w:szCs w:val="24"/>
        </w:rPr>
        <w:t>CHE’s</w:t>
      </w:r>
      <w:proofErr w:type="spellEnd"/>
      <w:r w:rsidRPr="00DD048F">
        <w:rPr>
          <w:rFonts w:cs="Times New Roman"/>
          <w:sz w:val="24"/>
          <w:szCs w:val="24"/>
        </w:rPr>
        <w:t xml:space="preserve"> Advisory Committee on Academic Programs must develop a postsecondary articulation agreement for dual enrollment courses between all school districts and higher education institutions.  The agreement must ensure that dual enrollment courses are equivalent to collegiate courses and supersedes all previous local dual enrollment agreements.  Dual enrollment may be offered </w:t>
      </w:r>
      <w:r w:rsidR="00DF04EC">
        <w:rPr>
          <w:rFonts w:cs="Times New Roman"/>
          <w:sz w:val="24"/>
          <w:szCs w:val="24"/>
        </w:rPr>
        <w:t>in grades ten through twelve.</w:t>
      </w:r>
    </w:p>
    <w:p w14:paraId="15730C68" w14:textId="77777777" w:rsidR="00CE2AAE" w:rsidRDefault="00925C16" w:rsidP="00ED3398">
      <w:pPr>
        <w:pStyle w:val="ListParagraph"/>
        <w:ind w:left="360"/>
        <w:rPr>
          <w:rFonts w:cs="Times New Roman"/>
          <w:sz w:val="24"/>
          <w:szCs w:val="24"/>
        </w:rPr>
      </w:pPr>
      <w:r w:rsidRPr="00925C16">
        <w:rPr>
          <w:rFonts w:cs="Times New Roman"/>
          <w:sz w:val="24"/>
          <w:szCs w:val="24"/>
        </w:rPr>
        <w:t xml:space="preserve">CHE and </w:t>
      </w:r>
      <w:proofErr w:type="spellStart"/>
      <w:r w:rsidRPr="00925C16">
        <w:rPr>
          <w:rFonts w:cs="Times New Roman"/>
          <w:sz w:val="24"/>
          <w:szCs w:val="24"/>
        </w:rPr>
        <w:t>SBTCE</w:t>
      </w:r>
      <w:proofErr w:type="spellEnd"/>
      <w:r w:rsidRPr="00925C16">
        <w:rPr>
          <w:rFonts w:cs="Times New Roman"/>
          <w:sz w:val="24"/>
          <w:szCs w:val="24"/>
        </w:rPr>
        <w:t xml:space="preserve"> must implement policies guaranteeing students who have earned an associate of arts (AA) degree or an associate of science (AS) degree from a public two‑year college will receive a minimum of sixty transfer credit hours at a public college or university and be considered part of the junior class.  </w:t>
      </w:r>
      <w:r w:rsidR="0016120A">
        <w:rPr>
          <w:rFonts w:cs="Times New Roman"/>
          <w:sz w:val="24"/>
          <w:szCs w:val="24"/>
        </w:rPr>
        <w:t>P</w:t>
      </w:r>
      <w:r w:rsidRPr="00925C16">
        <w:rPr>
          <w:rFonts w:cs="Times New Roman"/>
          <w:sz w:val="24"/>
          <w:szCs w:val="24"/>
        </w:rPr>
        <w:t>ublic four‑year colleges and universities must create a reverse transfer option for public two-year college students who enroll without completing an AA or AS degree. Once coursework is completed at the four-year college, credits earned may be transferred back to the originating public two-year college.</w:t>
      </w:r>
    </w:p>
    <w:p w14:paraId="4F50C4A9" w14:textId="346EB06D" w:rsidR="00925C16" w:rsidRPr="00925C16" w:rsidRDefault="00925C16" w:rsidP="00ED3398">
      <w:pPr>
        <w:pStyle w:val="ListParagraph"/>
        <w:ind w:left="360"/>
        <w:rPr>
          <w:rFonts w:cs="Times New Roman"/>
          <w:sz w:val="24"/>
          <w:szCs w:val="24"/>
        </w:rPr>
      </w:pPr>
      <w:r w:rsidRPr="00925C16">
        <w:rPr>
          <w:rFonts w:cs="Times New Roman"/>
          <w:sz w:val="24"/>
          <w:szCs w:val="24"/>
        </w:rPr>
        <w:t xml:space="preserve">  </w:t>
      </w:r>
    </w:p>
    <w:p w14:paraId="4583AF2F" w14:textId="0031EB78" w:rsidR="00925C16" w:rsidRPr="00DD048F" w:rsidRDefault="00925C16" w:rsidP="00DD048F">
      <w:pPr>
        <w:spacing w:after="200" w:line="276" w:lineRule="auto"/>
        <w:ind w:left="360"/>
        <w:rPr>
          <w:rFonts w:cs="Times New Roman"/>
          <w:sz w:val="24"/>
          <w:szCs w:val="24"/>
        </w:rPr>
      </w:pPr>
      <w:r w:rsidRPr="00DD048F">
        <w:rPr>
          <w:rFonts w:cs="Times New Roman"/>
          <w:b/>
          <w:bCs/>
          <w:sz w:val="24"/>
          <w:szCs w:val="24"/>
          <w:u w:val="single"/>
        </w:rPr>
        <w:t>Section 6</w:t>
      </w:r>
      <w:r w:rsidRPr="00DD048F">
        <w:rPr>
          <w:rFonts w:cs="Times New Roman"/>
          <w:sz w:val="24"/>
          <w:szCs w:val="24"/>
        </w:rPr>
        <w:t>:  The Department of Employment and Workforce (DEW) must provide online access to information regarding the economic value of college majors. In addition to showing the economic value of each major offered in this State, DEW must also compare bachelor’s degree earned to job availability. DEW may expand its report to include master’s and doctoral degrees.</w:t>
      </w:r>
    </w:p>
    <w:p w14:paraId="44406D84" w14:textId="060C9F84" w:rsidR="00925C16" w:rsidRPr="00DD048F" w:rsidRDefault="00925C16" w:rsidP="00DD048F">
      <w:pPr>
        <w:spacing w:after="200" w:line="276" w:lineRule="auto"/>
        <w:ind w:left="360"/>
        <w:rPr>
          <w:rFonts w:cs="Times New Roman"/>
          <w:sz w:val="24"/>
          <w:szCs w:val="24"/>
        </w:rPr>
      </w:pPr>
      <w:r w:rsidRPr="00DD048F">
        <w:rPr>
          <w:rFonts w:cs="Times New Roman"/>
          <w:b/>
          <w:bCs/>
          <w:sz w:val="24"/>
          <w:szCs w:val="24"/>
          <w:u w:val="single"/>
        </w:rPr>
        <w:t>Section 7</w:t>
      </w:r>
      <w:r w:rsidRPr="00DD048F">
        <w:rPr>
          <w:rFonts w:cs="Times New Roman"/>
          <w:sz w:val="24"/>
          <w:szCs w:val="24"/>
        </w:rPr>
        <w:t xml:space="preserve">:  </w:t>
      </w:r>
      <w:proofErr w:type="spellStart"/>
      <w:r w:rsidRPr="00DD048F">
        <w:rPr>
          <w:rFonts w:cs="Times New Roman"/>
          <w:sz w:val="24"/>
          <w:szCs w:val="24"/>
        </w:rPr>
        <w:t>SBCTE</w:t>
      </w:r>
      <w:proofErr w:type="spellEnd"/>
      <w:r w:rsidRPr="00DD048F">
        <w:rPr>
          <w:rFonts w:cs="Times New Roman"/>
          <w:sz w:val="24"/>
          <w:szCs w:val="24"/>
        </w:rPr>
        <w:t xml:space="preserve"> and the State Board of Education must report to the General </w:t>
      </w:r>
      <w:r w:rsidR="00D14D82" w:rsidRPr="00DD048F">
        <w:rPr>
          <w:rFonts w:cs="Times New Roman"/>
          <w:sz w:val="24"/>
          <w:szCs w:val="24"/>
        </w:rPr>
        <w:t>Assembly</w:t>
      </w:r>
      <w:r w:rsidR="00D14D82">
        <w:rPr>
          <w:rFonts w:cs="Times New Roman"/>
          <w:sz w:val="24"/>
          <w:szCs w:val="24"/>
        </w:rPr>
        <w:t xml:space="preserve"> about</w:t>
      </w:r>
      <w:r w:rsidRPr="00DD048F">
        <w:rPr>
          <w:rFonts w:cs="Times New Roman"/>
          <w:sz w:val="24"/>
          <w:szCs w:val="24"/>
        </w:rPr>
        <w:t xml:space="preserve"> how to best transfer adult basic education and adult secondary education from the State Board to the </w:t>
      </w:r>
      <w:proofErr w:type="spellStart"/>
      <w:r w:rsidRPr="00DD048F">
        <w:rPr>
          <w:rFonts w:cs="Times New Roman"/>
          <w:sz w:val="24"/>
          <w:szCs w:val="24"/>
        </w:rPr>
        <w:t>SBCTE</w:t>
      </w:r>
      <w:proofErr w:type="spellEnd"/>
      <w:r w:rsidRPr="00DD048F">
        <w:rPr>
          <w:rFonts w:cs="Times New Roman"/>
          <w:sz w:val="24"/>
          <w:szCs w:val="24"/>
        </w:rPr>
        <w:t>.</w:t>
      </w:r>
    </w:p>
    <w:p w14:paraId="33743587" w14:textId="7A1A5BF5" w:rsidR="00B457AB" w:rsidRDefault="00C73610" w:rsidP="00925C16">
      <w:pPr>
        <w:pStyle w:val="ListParagraph"/>
        <w:ind w:left="360"/>
        <w:jc w:val="both"/>
        <w:rPr>
          <w:rFonts w:eastAsia="Calibri" w:cs="Times New Roman"/>
          <w:b/>
          <w:i/>
          <w:sz w:val="24"/>
          <w:szCs w:val="24"/>
        </w:rPr>
      </w:pPr>
      <w:r w:rsidRPr="00925C16">
        <w:rPr>
          <w:rFonts w:eastAsia="Calibri" w:cs="Times New Roman"/>
          <w:b/>
          <w:i/>
          <w:sz w:val="24"/>
          <w:szCs w:val="24"/>
        </w:rPr>
        <w:t xml:space="preserve">(H. </w:t>
      </w:r>
      <w:r w:rsidR="00925C16">
        <w:rPr>
          <w:rFonts w:eastAsia="Calibri" w:cs="Times New Roman"/>
          <w:b/>
          <w:i/>
          <w:sz w:val="24"/>
          <w:szCs w:val="24"/>
        </w:rPr>
        <w:t>4060</w:t>
      </w:r>
      <w:r w:rsidRPr="00925C16">
        <w:rPr>
          <w:rFonts w:eastAsia="Calibri" w:cs="Times New Roman"/>
          <w:b/>
          <w:i/>
          <w:sz w:val="24"/>
          <w:szCs w:val="24"/>
        </w:rPr>
        <w:t xml:space="preserve"> was adopted on March 2</w:t>
      </w:r>
      <w:r w:rsidR="00925C16">
        <w:rPr>
          <w:rFonts w:eastAsia="Calibri" w:cs="Times New Roman"/>
          <w:b/>
          <w:i/>
          <w:sz w:val="24"/>
          <w:szCs w:val="24"/>
        </w:rPr>
        <w:t>9</w:t>
      </w:r>
      <w:r w:rsidRPr="00925C16">
        <w:rPr>
          <w:rFonts w:eastAsia="Calibri" w:cs="Times New Roman"/>
          <w:b/>
          <w:i/>
          <w:sz w:val="24"/>
          <w:szCs w:val="24"/>
        </w:rPr>
        <w:t>, 202</w:t>
      </w:r>
      <w:r w:rsidR="00925C16">
        <w:rPr>
          <w:rFonts w:eastAsia="Calibri" w:cs="Times New Roman"/>
          <w:b/>
          <w:i/>
          <w:sz w:val="24"/>
          <w:szCs w:val="24"/>
        </w:rPr>
        <w:t>3</w:t>
      </w:r>
      <w:r w:rsidRPr="00925C16">
        <w:rPr>
          <w:rFonts w:eastAsia="Calibri" w:cs="Times New Roman"/>
          <w:b/>
          <w:i/>
          <w:sz w:val="24"/>
          <w:szCs w:val="24"/>
        </w:rPr>
        <w:t>, and referred to the Senate Education Committee.)</w:t>
      </w:r>
    </w:p>
    <w:p w14:paraId="01F46A21" w14:textId="77777777" w:rsidR="00A23E5B" w:rsidRDefault="00A23E5B" w:rsidP="00925C16">
      <w:pPr>
        <w:pStyle w:val="ListParagraph"/>
        <w:ind w:left="360"/>
        <w:jc w:val="both"/>
        <w:rPr>
          <w:rFonts w:eastAsia="Calibri" w:cs="Times New Roman"/>
          <w:b/>
          <w:i/>
          <w:sz w:val="24"/>
          <w:szCs w:val="24"/>
        </w:rPr>
      </w:pPr>
    </w:p>
    <w:p w14:paraId="3DF923A0" w14:textId="1147CAEF" w:rsidR="00A23E5B" w:rsidRPr="00A23E5B" w:rsidRDefault="00A23E5B" w:rsidP="00A23E5B">
      <w:pPr>
        <w:pStyle w:val="ListParagraph"/>
        <w:numPr>
          <w:ilvl w:val="0"/>
          <w:numId w:val="42"/>
        </w:numPr>
        <w:spacing w:after="200" w:line="276" w:lineRule="auto"/>
        <w:jc w:val="both"/>
        <w:rPr>
          <w:rFonts w:cs="Times New Roman"/>
          <w:sz w:val="24"/>
          <w:szCs w:val="24"/>
        </w:rPr>
      </w:pPr>
      <w:r w:rsidRPr="00A23E5B">
        <w:rPr>
          <w:rFonts w:eastAsia="Calibri" w:cs="Times New Roman"/>
          <w:b/>
          <w:iCs/>
          <w:sz w:val="24"/>
          <w:szCs w:val="24"/>
        </w:rPr>
        <w:lastRenderedPageBreak/>
        <w:t xml:space="preserve">House bill 4280 </w:t>
      </w:r>
      <w:r w:rsidRPr="00A23E5B">
        <w:rPr>
          <w:rFonts w:eastAsia="Calibri" w:cs="Times New Roman"/>
          <w:bCs/>
          <w:iCs/>
          <w:sz w:val="24"/>
          <w:szCs w:val="24"/>
        </w:rPr>
        <w:t xml:space="preserve">is </w:t>
      </w:r>
      <w:r w:rsidRPr="00A23E5B">
        <w:rPr>
          <w:rFonts w:cs="Times New Roman"/>
          <w:sz w:val="24"/>
          <w:szCs w:val="24"/>
        </w:rPr>
        <w:t xml:space="preserve">entitled the Educator Assistance Act.  The bill removes the requirement that South Carolina educators must recertify their teaching credential.  A credential is considered permanent unless it is revoked or suspended.  </w:t>
      </w:r>
      <w:proofErr w:type="spellStart"/>
      <w:r w:rsidRPr="00A23E5B">
        <w:rPr>
          <w:rFonts w:cs="Times New Roman"/>
          <w:sz w:val="24"/>
          <w:szCs w:val="24"/>
        </w:rPr>
        <w:t>SDE</w:t>
      </w:r>
      <w:proofErr w:type="spellEnd"/>
      <w:r w:rsidRPr="00A23E5B">
        <w:rPr>
          <w:rFonts w:cs="Times New Roman"/>
          <w:sz w:val="24"/>
          <w:szCs w:val="24"/>
        </w:rPr>
        <w:t>, in collaboration with the Education Oversight Committee (</w:t>
      </w:r>
      <w:proofErr w:type="spellStart"/>
      <w:r w:rsidRPr="00A23E5B">
        <w:rPr>
          <w:rFonts w:cs="Times New Roman"/>
          <w:sz w:val="24"/>
          <w:szCs w:val="24"/>
        </w:rPr>
        <w:t>EOC</w:t>
      </w:r>
      <w:proofErr w:type="spellEnd"/>
      <w:r w:rsidRPr="00A23E5B">
        <w:rPr>
          <w:rFonts w:cs="Times New Roman"/>
          <w:sz w:val="24"/>
          <w:szCs w:val="24"/>
        </w:rPr>
        <w:t>), to use data already being collected to report on in state and out</w:t>
      </w:r>
      <w:r w:rsidRPr="00A23E5B">
        <w:rPr>
          <w:rFonts w:cs="Times New Roman"/>
          <w:sz w:val="24"/>
          <w:szCs w:val="24"/>
        </w:rPr>
        <w:noBreakHyphen/>
        <w:t>of</w:t>
      </w:r>
      <w:r w:rsidRPr="00A23E5B">
        <w:rPr>
          <w:rFonts w:cs="Times New Roman"/>
          <w:sz w:val="24"/>
          <w:szCs w:val="24"/>
        </w:rPr>
        <w:noBreakHyphen/>
        <w:t xml:space="preserve">state college enrollment, college persistence, and postsecondary completion of high school graduates. </w:t>
      </w:r>
    </w:p>
    <w:p w14:paraId="01AB602D" w14:textId="77777777" w:rsidR="00A23E5B" w:rsidRPr="00A23E5B" w:rsidRDefault="00A23E5B" w:rsidP="00A23E5B">
      <w:pPr>
        <w:pStyle w:val="ListParagraph"/>
        <w:ind w:left="360"/>
        <w:rPr>
          <w:rFonts w:cs="Times New Roman"/>
          <w:sz w:val="24"/>
          <w:szCs w:val="24"/>
        </w:rPr>
      </w:pPr>
    </w:p>
    <w:p w14:paraId="12D94FC6" w14:textId="77777777" w:rsidR="00A23E5B" w:rsidRPr="00A23E5B" w:rsidRDefault="00A23E5B" w:rsidP="00A23E5B">
      <w:pPr>
        <w:spacing w:after="200" w:line="276" w:lineRule="auto"/>
        <w:ind w:left="360"/>
        <w:rPr>
          <w:rFonts w:cs="Times New Roman"/>
          <w:sz w:val="24"/>
          <w:szCs w:val="24"/>
        </w:rPr>
      </w:pPr>
      <w:r w:rsidRPr="00A23E5B">
        <w:rPr>
          <w:rFonts w:cs="Times New Roman"/>
          <w:sz w:val="24"/>
          <w:szCs w:val="24"/>
        </w:rPr>
        <w:t xml:space="preserve">The bill provides greater flexibility to teachers regarding their employment contracts.  Teachers who submit contracts before May 11 of each year will have ten days after publication of the employing district’s salary schedule to notify the district in writing that they are withdrawing acceptance of their contract. Districts may not report the withdrawal as a breach of contract if notice is promptly given. </w:t>
      </w:r>
    </w:p>
    <w:p w14:paraId="29109936" w14:textId="5A4FEA84" w:rsidR="00A23E5B" w:rsidRPr="00A23E5B" w:rsidRDefault="00A23E5B" w:rsidP="00A23E5B">
      <w:pPr>
        <w:spacing w:after="200" w:line="276" w:lineRule="auto"/>
        <w:ind w:left="360"/>
        <w:rPr>
          <w:rFonts w:cs="Times New Roman"/>
          <w:sz w:val="24"/>
          <w:szCs w:val="24"/>
        </w:rPr>
      </w:pPr>
      <w:r w:rsidRPr="00A23E5B">
        <w:rPr>
          <w:rFonts w:cs="Times New Roman"/>
          <w:sz w:val="24"/>
          <w:szCs w:val="24"/>
        </w:rPr>
        <w:t>When a certificate is suspended due to breach of contract, Section 59</w:t>
      </w:r>
      <w:r w:rsidRPr="00A23E5B">
        <w:rPr>
          <w:rFonts w:cs="Times New Roman"/>
          <w:sz w:val="24"/>
          <w:szCs w:val="24"/>
        </w:rPr>
        <w:noBreakHyphen/>
        <w:t>25</w:t>
      </w:r>
      <w:r w:rsidRPr="00A23E5B">
        <w:rPr>
          <w:rFonts w:cs="Times New Roman"/>
          <w:sz w:val="24"/>
          <w:szCs w:val="24"/>
        </w:rPr>
        <w:noBreakHyphen/>
        <w:t>530 is amended so that a suspensio</w:t>
      </w:r>
      <w:r>
        <w:rPr>
          <w:rFonts w:cs="Times New Roman"/>
          <w:sz w:val="24"/>
          <w:szCs w:val="24"/>
        </w:rPr>
        <w:t>n</w:t>
      </w:r>
      <w:r w:rsidRPr="00A23E5B">
        <w:rPr>
          <w:rFonts w:cs="Times New Roman"/>
          <w:sz w:val="24"/>
          <w:szCs w:val="24"/>
        </w:rPr>
        <w:t xml:space="preserve"> begins on the date of the breach.  Instead of being mandated to suspend a certification, the State Board of Educati</w:t>
      </w:r>
      <w:r>
        <w:rPr>
          <w:rFonts w:cs="Times New Roman"/>
          <w:sz w:val="24"/>
          <w:szCs w:val="24"/>
        </w:rPr>
        <w:t>on is given</w:t>
      </w:r>
      <w:r w:rsidRPr="00A23E5B">
        <w:rPr>
          <w:rFonts w:cs="Times New Roman"/>
          <w:sz w:val="24"/>
          <w:szCs w:val="24"/>
        </w:rPr>
        <w:t xml:space="preserve"> discretion in this decision.  Suspensions</w:t>
      </w:r>
      <w:r>
        <w:rPr>
          <w:rFonts w:cs="Times New Roman"/>
          <w:sz w:val="24"/>
          <w:szCs w:val="24"/>
        </w:rPr>
        <w:t xml:space="preserve"> may no</w:t>
      </w:r>
      <w:r w:rsidRPr="00A23E5B">
        <w:rPr>
          <w:rFonts w:cs="Times New Roman"/>
          <w:sz w:val="24"/>
          <w:szCs w:val="24"/>
        </w:rPr>
        <w:t>t last for more than six months instead of the one-year limit now in place.</w:t>
      </w:r>
    </w:p>
    <w:p w14:paraId="6046B80B" w14:textId="344D3081" w:rsidR="00E90E65" w:rsidRDefault="00A23E5B" w:rsidP="00925C16">
      <w:pPr>
        <w:pStyle w:val="ListParagraph"/>
        <w:ind w:left="360"/>
        <w:jc w:val="both"/>
        <w:rPr>
          <w:rFonts w:eastAsia="Calibri" w:cs="Times New Roman"/>
          <w:b/>
          <w:i/>
          <w:sz w:val="24"/>
          <w:szCs w:val="24"/>
        </w:rPr>
      </w:pPr>
      <w:r>
        <w:rPr>
          <w:rFonts w:eastAsia="Calibri" w:cs="Times New Roman"/>
          <w:b/>
          <w:i/>
          <w:sz w:val="24"/>
          <w:szCs w:val="24"/>
        </w:rPr>
        <w:t>(H. 4280 was adopted by the House on May 4, 2023, and referred to the Senate Education Committee.)</w:t>
      </w:r>
    </w:p>
    <w:p w14:paraId="1A07AD72" w14:textId="77777777" w:rsidR="00A23E5B" w:rsidRDefault="00A23E5B" w:rsidP="00925C16">
      <w:pPr>
        <w:pStyle w:val="ListParagraph"/>
        <w:ind w:left="360"/>
        <w:jc w:val="both"/>
        <w:rPr>
          <w:rFonts w:eastAsia="Calibri" w:cs="Times New Roman"/>
          <w:b/>
          <w:i/>
          <w:sz w:val="24"/>
          <w:szCs w:val="24"/>
        </w:rPr>
      </w:pPr>
    </w:p>
    <w:p w14:paraId="363D552C" w14:textId="4705B90C" w:rsidR="0016120A" w:rsidRPr="0016120A" w:rsidRDefault="00C73610" w:rsidP="00E90E65">
      <w:pPr>
        <w:pStyle w:val="ListParagraph"/>
        <w:numPr>
          <w:ilvl w:val="0"/>
          <w:numId w:val="13"/>
        </w:numPr>
        <w:jc w:val="both"/>
        <w:rPr>
          <w:rFonts w:eastAsia="Calibri" w:cs="Times New Roman"/>
          <w:bCs/>
          <w:sz w:val="24"/>
          <w:szCs w:val="24"/>
        </w:rPr>
      </w:pPr>
      <w:r w:rsidRPr="00C41475">
        <w:rPr>
          <w:rFonts w:eastAsia="Calibri" w:cs="Times New Roman"/>
          <w:b/>
          <w:sz w:val="24"/>
          <w:szCs w:val="24"/>
        </w:rPr>
        <w:t xml:space="preserve">House bill </w:t>
      </w:r>
      <w:r w:rsidR="0016120A">
        <w:rPr>
          <w:rFonts w:eastAsia="Calibri" w:cs="Times New Roman"/>
          <w:b/>
          <w:sz w:val="24"/>
          <w:szCs w:val="24"/>
        </w:rPr>
        <w:t xml:space="preserve">4352 </w:t>
      </w:r>
      <w:r w:rsidR="0016120A" w:rsidRPr="0016120A">
        <w:rPr>
          <w:rFonts w:eastAsia="Calibri" w:cs="Times New Roman"/>
          <w:bCs/>
          <w:sz w:val="24"/>
          <w:szCs w:val="24"/>
        </w:rPr>
        <w:t>designat</w:t>
      </w:r>
      <w:r w:rsidR="0016120A">
        <w:rPr>
          <w:rFonts w:eastAsia="Calibri" w:cs="Times New Roman"/>
          <w:bCs/>
          <w:sz w:val="24"/>
          <w:szCs w:val="24"/>
        </w:rPr>
        <w:t>es</w:t>
      </w:r>
      <w:r w:rsidR="0016120A" w:rsidRPr="0016120A">
        <w:rPr>
          <w:rFonts w:eastAsia="Calibri" w:cs="Times New Roman"/>
          <w:bCs/>
          <w:sz w:val="24"/>
          <w:szCs w:val="24"/>
        </w:rPr>
        <w:t xml:space="preserve"> March of each year as “Middle Level Education Month</w:t>
      </w:r>
      <w:r w:rsidR="0016120A">
        <w:rPr>
          <w:rFonts w:eastAsia="Calibri" w:cs="Times New Roman"/>
          <w:bCs/>
          <w:sz w:val="24"/>
          <w:szCs w:val="24"/>
        </w:rPr>
        <w:t>.</w:t>
      </w:r>
      <w:r w:rsidR="0016120A" w:rsidRPr="0016120A">
        <w:rPr>
          <w:rFonts w:eastAsia="Calibri" w:cs="Times New Roman"/>
          <w:bCs/>
          <w:sz w:val="24"/>
          <w:szCs w:val="24"/>
        </w:rPr>
        <w:t xml:space="preserve">” </w:t>
      </w:r>
    </w:p>
    <w:p w14:paraId="5BD5E0AE" w14:textId="6D63A910" w:rsidR="0061223D" w:rsidRDefault="0061223D" w:rsidP="0016120A">
      <w:pPr>
        <w:pStyle w:val="ListParagraph"/>
        <w:ind w:left="360"/>
        <w:jc w:val="both"/>
        <w:rPr>
          <w:rFonts w:cs="Times New Roman"/>
          <w:sz w:val="24"/>
          <w:szCs w:val="24"/>
        </w:rPr>
      </w:pPr>
    </w:p>
    <w:p w14:paraId="371965ED" w14:textId="5527D36C" w:rsidR="0061223D" w:rsidRDefault="0061223D" w:rsidP="00B457AB">
      <w:pPr>
        <w:ind w:left="360"/>
        <w:rPr>
          <w:rFonts w:cs="Times New Roman"/>
          <w:sz w:val="24"/>
          <w:szCs w:val="24"/>
        </w:rPr>
      </w:pPr>
      <w:r w:rsidRPr="0061223D">
        <w:rPr>
          <w:rFonts w:cs="Times New Roman"/>
          <w:b/>
          <w:i/>
          <w:sz w:val="24"/>
          <w:szCs w:val="24"/>
        </w:rPr>
        <w:t xml:space="preserve">(H. </w:t>
      </w:r>
      <w:r w:rsidR="0016120A">
        <w:rPr>
          <w:rFonts w:cs="Times New Roman"/>
          <w:b/>
          <w:i/>
          <w:sz w:val="24"/>
          <w:szCs w:val="24"/>
        </w:rPr>
        <w:t>4352</w:t>
      </w:r>
      <w:r w:rsidRPr="0061223D">
        <w:rPr>
          <w:rFonts w:cs="Times New Roman"/>
          <w:b/>
          <w:i/>
          <w:sz w:val="24"/>
          <w:szCs w:val="24"/>
        </w:rPr>
        <w:t xml:space="preserve"> was adopted by the House on </w:t>
      </w:r>
      <w:r w:rsidR="0016120A">
        <w:rPr>
          <w:rFonts w:cs="Times New Roman"/>
          <w:b/>
          <w:i/>
          <w:sz w:val="24"/>
          <w:szCs w:val="24"/>
        </w:rPr>
        <w:t>April 28, 2023</w:t>
      </w:r>
      <w:r w:rsidR="00C57ABB">
        <w:rPr>
          <w:rFonts w:cs="Times New Roman"/>
          <w:b/>
          <w:i/>
          <w:sz w:val="24"/>
          <w:szCs w:val="24"/>
        </w:rPr>
        <w:t>, and</w:t>
      </w:r>
      <w:r w:rsidR="0016120A">
        <w:rPr>
          <w:rFonts w:cs="Times New Roman"/>
          <w:b/>
          <w:i/>
          <w:sz w:val="24"/>
          <w:szCs w:val="24"/>
        </w:rPr>
        <w:t xml:space="preserve"> is on </w:t>
      </w:r>
      <w:r w:rsidR="00B457AB">
        <w:rPr>
          <w:rFonts w:cs="Times New Roman"/>
          <w:b/>
          <w:i/>
          <w:sz w:val="24"/>
          <w:szCs w:val="24"/>
        </w:rPr>
        <w:t xml:space="preserve">the Senate </w:t>
      </w:r>
      <w:r w:rsidR="0016120A">
        <w:rPr>
          <w:rFonts w:cs="Times New Roman"/>
          <w:b/>
          <w:i/>
          <w:sz w:val="24"/>
          <w:szCs w:val="24"/>
        </w:rPr>
        <w:t>calendar</w:t>
      </w:r>
      <w:r w:rsidRPr="0061223D">
        <w:rPr>
          <w:rFonts w:cs="Times New Roman"/>
          <w:b/>
          <w:i/>
          <w:sz w:val="24"/>
          <w:szCs w:val="24"/>
        </w:rPr>
        <w:t>.)</w:t>
      </w:r>
    </w:p>
    <w:p w14:paraId="62F6367A" w14:textId="77777777" w:rsidR="00D4539A" w:rsidRDefault="00D4539A" w:rsidP="00D4539A">
      <w:pPr>
        <w:pStyle w:val="ListParagraph"/>
        <w:spacing w:after="200" w:line="276" w:lineRule="auto"/>
        <w:ind w:left="360"/>
        <w:rPr>
          <w:rFonts w:eastAsia="Calibri" w:cs="Times New Roman"/>
          <w:b/>
          <w:i/>
          <w:sz w:val="24"/>
          <w:szCs w:val="24"/>
        </w:rPr>
      </w:pPr>
    </w:p>
    <w:p w14:paraId="555D916B" w14:textId="4EA0F547" w:rsidR="001D70C5" w:rsidRPr="001D70C5" w:rsidRDefault="0016120A" w:rsidP="00E90E65">
      <w:pPr>
        <w:pStyle w:val="ListParagraph"/>
        <w:numPr>
          <w:ilvl w:val="0"/>
          <w:numId w:val="28"/>
        </w:numPr>
        <w:spacing w:after="200" w:line="276" w:lineRule="auto"/>
        <w:rPr>
          <w:rFonts w:eastAsia="Calibri" w:cs="Times New Roman"/>
          <w:bCs/>
          <w:iCs/>
          <w:sz w:val="24"/>
          <w:szCs w:val="24"/>
        </w:rPr>
      </w:pPr>
      <w:r w:rsidRPr="001D70C5">
        <w:rPr>
          <w:rFonts w:eastAsia="Calibri" w:cs="Times New Roman"/>
          <w:b/>
          <w:iCs/>
          <w:sz w:val="24"/>
          <w:szCs w:val="24"/>
        </w:rPr>
        <w:t>Senate bill 418</w:t>
      </w:r>
      <w:r w:rsidRPr="001D70C5">
        <w:rPr>
          <w:rFonts w:eastAsia="Calibri" w:cs="Times New Roman"/>
          <w:bCs/>
          <w:iCs/>
          <w:sz w:val="24"/>
          <w:szCs w:val="24"/>
        </w:rPr>
        <w:t xml:space="preserve"> defines “Science of Reading,” “Foundational Literacy Skills,” Structured Literacy,” and “Literacy, and removes references to “evidence-based” instruction in favor of “</w:t>
      </w:r>
      <w:proofErr w:type="gramStart"/>
      <w:r w:rsidRPr="001D70C5">
        <w:rPr>
          <w:rFonts w:eastAsia="Calibri" w:cs="Times New Roman"/>
          <w:bCs/>
          <w:iCs/>
          <w:sz w:val="24"/>
          <w:szCs w:val="24"/>
        </w:rPr>
        <w:t>scientifically-based</w:t>
      </w:r>
      <w:proofErr w:type="gramEnd"/>
      <w:r w:rsidRPr="001D70C5">
        <w:rPr>
          <w:rFonts w:eastAsia="Calibri" w:cs="Times New Roman"/>
          <w:bCs/>
          <w:iCs/>
          <w:sz w:val="24"/>
          <w:szCs w:val="24"/>
        </w:rPr>
        <w:t>.”</w:t>
      </w:r>
      <w:r w:rsidR="001D70C5">
        <w:rPr>
          <w:rFonts w:eastAsia="Calibri" w:cs="Times New Roman"/>
          <w:bCs/>
          <w:iCs/>
          <w:sz w:val="24"/>
          <w:szCs w:val="24"/>
        </w:rPr>
        <w:t xml:space="preserve">  </w:t>
      </w:r>
      <w:r w:rsidR="001D70C5" w:rsidRPr="001D70C5">
        <w:rPr>
          <w:rFonts w:eastAsia="Calibri" w:cs="Times New Roman"/>
          <w:bCs/>
          <w:iCs/>
          <w:sz w:val="24"/>
          <w:szCs w:val="24"/>
        </w:rPr>
        <w:t>The bill f</w:t>
      </w:r>
      <w:r w:rsidRPr="001D70C5">
        <w:rPr>
          <w:rFonts w:eastAsia="Calibri" w:cs="Times New Roman"/>
          <w:bCs/>
          <w:iCs/>
          <w:sz w:val="24"/>
          <w:szCs w:val="24"/>
        </w:rPr>
        <w:t xml:space="preserve">ocuses Read to Succeed efforts to grades pre-K to five instead of pre-K through twelve.  Efforts are also placed in middle schools where fifty percent or more of students score at the lowest achievement level on the state </w:t>
      </w:r>
      <w:r w:rsidR="00ED3398">
        <w:rPr>
          <w:rFonts w:eastAsia="Calibri" w:cs="Times New Roman"/>
          <w:bCs/>
          <w:iCs/>
          <w:sz w:val="24"/>
          <w:szCs w:val="24"/>
        </w:rPr>
        <w:t xml:space="preserve">reading </w:t>
      </w:r>
      <w:r w:rsidRPr="001D70C5">
        <w:rPr>
          <w:rFonts w:eastAsia="Calibri" w:cs="Times New Roman"/>
          <w:bCs/>
          <w:iCs/>
          <w:sz w:val="24"/>
          <w:szCs w:val="24"/>
        </w:rPr>
        <w:t xml:space="preserve">assessment. </w:t>
      </w:r>
      <w:r w:rsidR="001D70C5" w:rsidRPr="001D70C5">
        <w:rPr>
          <w:rFonts w:eastAsia="Calibri" w:cs="Times New Roman"/>
          <w:bCs/>
          <w:iCs/>
          <w:sz w:val="24"/>
          <w:szCs w:val="24"/>
        </w:rPr>
        <w:t>C</w:t>
      </w:r>
      <w:r w:rsidRPr="001D70C5">
        <w:rPr>
          <w:rFonts w:eastAsia="Calibri" w:cs="Times New Roman"/>
          <w:bCs/>
          <w:iCs/>
          <w:sz w:val="24"/>
          <w:szCs w:val="24"/>
        </w:rPr>
        <w:t>urriculum or instructional materials that use the three-cueing system model of reading and visual memory as the basis for teaching word recognition</w:t>
      </w:r>
      <w:r w:rsidR="001D70C5" w:rsidRPr="001D70C5">
        <w:rPr>
          <w:rFonts w:eastAsia="Calibri" w:cs="Times New Roman"/>
          <w:bCs/>
          <w:iCs/>
          <w:sz w:val="24"/>
          <w:szCs w:val="24"/>
        </w:rPr>
        <w:t xml:space="preserve"> are expressly prohibited</w:t>
      </w:r>
      <w:r w:rsidRPr="001D70C5">
        <w:rPr>
          <w:rFonts w:eastAsia="Calibri" w:cs="Times New Roman"/>
          <w:bCs/>
          <w:iCs/>
          <w:sz w:val="24"/>
          <w:szCs w:val="24"/>
        </w:rPr>
        <w:t>.</w:t>
      </w:r>
    </w:p>
    <w:p w14:paraId="0942B8F2" w14:textId="77777777" w:rsidR="001D70C5" w:rsidRDefault="001D70C5" w:rsidP="001D70C5">
      <w:pPr>
        <w:pStyle w:val="ListParagraph"/>
        <w:spacing w:after="200" w:line="276" w:lineRule="auto"/>
        <w:ind w:left="360"/>
        <w:rPr>
          <w:rFonts w:eastAsia="Calibri" w:cs="Times New Roman"/>
          <w:bCs/>
          <w:iCs/>
          <w:sz w:val="24"/>
          <w:szCs w:val="24"/>
        </w:rPr>
      </w:pPr>
    </w:p>
    <w:p w14:paraId="0401C908" w14:textId="1417A8E1" w:rsidR="001D70C5" w:rsidRDefault="001D70C5" w:rsidP="001D70C5">
      <w:pPr>
        <w:pStyle w:val="ListParagraph"/>
        <w:spacing w:after="200" w:line="276" w:lineRule="auto"/>
        <w:ind w:left="360"/>
        <w:rPr>
          <w:rFonts w:eastAsia="Calibri" w:cs="Times New Roman"/>
          <w:bCs/>
          <w:iCs/>
          <w:sz w:val="24"/>
          <w:szCs w:val="24"/>
        </w:rPr>
      </w:pPr>
      <w:r>
        <w:rPr>
          <w:rFonts w:eastAsia="Calibri" w:cs="Times New Roman"/>
          <w:bCs/>
          <w:iCs/>
          <w:sz w:val="24"/>
          <w:szCs w:val="24"/>
        </w:rPr>
        <w:t>T</w:t>
      </w:r>
      <w:r w:rsidR="0016120A" w:rsidRPr="0016120A">
        <w:rPr>
          <w:rFonts w:eastAsia="Calibri" w:cs="Times New Roman"/>
          <w:bCs/>
          <w:iCs/>
          <w:sz w:val="24"/>
          <w:szCs w:val="24"/>
        </w:rPr>
        <w:t>eachers certified in early childhood, elementary, or special education must complete coursework in foundational literacy skills, structured literacy, and the science of reading or successfully complete the scientifically research-based reading instruction assessment approved by the board. Classroom teachers must receive pre-service and in-service coursework in foundational literacy skills, structured literacy, and the science of reading.</w:t>
      </w:r>
      <w:r>
        <w:rPr>
          <w:rFonts w:eastAsia="Calibri" w:cs="Times New Roman"/>
          <w:bCs/>
          <w:iCs/>
          <w:sz w:val="24"/>
          <w:szCs w:val="24"/>
        </w:rPr>
        <w:t xml:space="preserve">  Existing coursework requirements are removed.</w:t>
      </w:r>
    </w:p>
    <w:p w14:paraId="6BF58D55" w14:textId="77777777" w:rsidR="001D70C5" w:rsidRDefault="001D70C5" w:rsidP="001D70C5">
      <w:pPr>
        <w:pStyle w:val="ListParagraph"/>
        <w:spacing w:after="200" w:line="276" w:lineRule="auto"/>
        <w:ind w:left="360"/>
        <w:rPr>
          <w:rFonts w:eastAsia="Calibri" w:cs="Times New Roman"/>
          <w:bCs/>
          <w:iCs/>
          <w:sz w:val="24"/>
          <w:szCs w:val="24"/>
        </w:rPr>
      </w:pPr>
    </w:p>
    <w:p w14:paraId="5C2CAD95" w14:textId="77777777" w:rsidR="001D70C5" w:rsidRDefault="0016120A" w:rsidP="001D70C5">
      <w:pPr>
        <w:pStyle w:val="ListParagraph"/>
        <w:spacing w:after="200" w:line="276" w:lineRule="auto"/>
        <w:ind w:left="360"/>
        <w:rPr>
          <w:rFonts w:eastAsia="Calibri" w:cs="Times New Roman"/>
          <w:bCs/>
          <w:iCs/>
          <w:sz w:val="24"/>
          <w:szCs w:val="24"/>
        </w:rPr>
      </w:pPr>
      <w:r w:rsidRPr="0016120A">
        <w:rPr>
          <w:rFonts w:eastAsia="Calibri" w:cs="Times New Roman"/>
          <w:bCs/>
          <w:iCs/>
          <w:sz w:val="24"/>
          <w:szCs w:val="24"/>
        </w:rPr>
        <w:t>Beginning September 1, 2024, early childhood, elementary, and special education teacher candidates seeking initial certification must pass a rigorous test of scientifically research-based reading instruction and intervention and data-based decision-making principles. Colleges must report the success rate of teacher candidates who take the assessment.</w:t>
      </w:r>
      <w:r w:rsidR="001D70C5">
        <w:rPr>
          <w:rFonts w:eastAsia="Calibri" w:cs="Times New Roman"/>
          <w:bCs/>
          <w:iCs/>
          <w:sz w:val="24"/>
          <w:szCs w:val="24"/>
        </w:rPr>
        <w:t xml:space="preserve"> </w:t>
      </w:r>
      <w:r w:rsidRPr="0016120A">
        <w:rPr>
          <w:rFonts w:eastAsia="Calibri" w:cs="Times New Roman"/>
          <w:bCs/>
          <w:iCs/>
          <w:sz w:val="24"/>
          <w:szCs w:val="24"/>
        </w:rPr>
        <w:t xml:space="preserve">Teachers, administrators, and other certified staff must earn a literacy endorsement to maintain certification unless they are not educating or serving students in a school or other educational setting.  Districts must offer professional development, coursework, certification, and endorsements at no charge. Teachers may exempt having to take the literacy endorsement courses if they pass the same literacy assessment given to pre-service educators. </w:t>
      </w:r>
    </w:p>
    <w:p w14:paraId="214E1D69" w14:textId="77777777" w:rsidR="001D70C5" w:rsidRDefault="001D70C5" w:rsidP="001D70C5">
      <w:pPr>
        <w:pStyle w:val="ListParagraph"/>
        <w:spacing w:after="200" w:line="276" w:lineRule="auto"/>
        <w:ind w:left="360"/>
        <w:rPr>
          <w:rFonts w:eastAsia="Calibri" w:cs="Times New Roman"/>
          <w:bCs/>
          <w:iCs/>
          <w:sz w:val="24"/>
          <w:szCs w:val="24"/>
        </w:rPr>
      </w:pPr>
    </w:p>
    <w:p w14:paraId="7A92DE51" w14:textId="77777777" w:rsidR="00607382" w:rsidRDefault="00607382" w:rsidP="001D70C5">
      <w:pPr>
        <w:pStyle w:val="ListParagraph"/>
        <w:spacing w:after="200" w:line="276" w:lineRule="auto"/>
        <w:ind w:left="360"/>
        <w:rPr>
          <w:rFonts w:eastAsia="Calibri" w:cs="Times New Roman"/>
          <w:bCs/>
          <w:iCs/>
          <w:sz w:val="24"/>
          <w:szCs w:val="24"/>
        </w:rPr>
      </w:pPr>
    </w:p>
    <w:p w14:paraId="2B4EAB72" w14:textId="0A40FF68" w:rsidR="001D70C5" w:rsidRDefault="0016120A" w:rsidP="001D70C5">
      <w:pPr>
        <w:pStyle w:val="ListParagraph"/>
        <w:spacing w:after="200" w:line="276" w:lineRule="auto"/>
        <w:ind w:left="360"/>
        <w:rPr>
          <w:rFonts w:eastAsia="Calibri" w:cs="Times New Roman"/>
          <w:bCs/>
          <w:iCs/>
          <w:sz w:val="24"/>
          <w:szCs w:val="24"/>
        </w:rPr>
      </w:pPr>
      <w:r w:rsidRPr="0016120A">
        <w:rPr>
          <w:rFonts w:eastAsia="Calibri" w:cs="Times New Roman"/>
          <w:bCs/>
          <w:iCs/>
          <w:sz w:val="24"/>
          <w:szCs w:val="24"/>
        </w:rPr>
        <w:lastRenderedPageBreak/>
        <w:t>Districts must show how reading and writing assessments and instruction align to the science of reading, structured literacy, and foundational literacy skills and document how interventions are provided to readers who fail to show reading proficiency. Supplemental instruction shall be provided by teachers who have a literacy endorsement and offered during the school day and, as appropriate, before or after school.</w:t>
      </w:r>
    </w:p>
    <w:p w14:paraId="0D2C4B0D" w14:textId="77777777" w:rsidR="001D70C5" w:rsidRDefault="001D70C5" w:rsidP="001D70C5">
      <w:pPr>
        <w:pStyle w:val="ListParagraph"/>
        <w:spacing w:after="200" w:line="276" w:lineRule="auto"/>
        <w:ind w:left="360"/>
        <w:rPr>
          <w:rFonts w:eastAsia="Calibri" w:cs="Times New Roman"/>
          <w:bCs/>
          <w:iCs/>
          <w:sz w:val="24"/>
          <w:szCs w:val="24"/>
        </w:rPr>
      </w:pPr>
    </w:p>
    <w:p w14:paraId="2D770FA5" w14:textId="3B62E9E9" w:rsidR="001D70C5" w:rsidRDefault="0016120A" w:rsidP="001D70C5">
      <w:pPr>
        <w:pStyle w:val="ListParagraph"/>
        <w:spacing w:after="200" w:line="276" w:lineRule="auto"/>
        <w:ind w:left="360"/>
        <w:rPr>
          <w:rFonts w:eastAsia="Calibri" w:cs="Times New Roman"/>
          <w:bCs/>
          <w:iCs/>
          <w:sz w:val="24"/>
          <w:szCs w:val="24"/>
        </w:rPr>
      </w:pPr>
      <w:r w:rsidRPr="0016120A">
        <w:rPr>
          <w:rFonts w:eastAsia="Calibri" w:cs="Times New Roman"/>
          <w:bCs/>
          <w:iCs/>
          <w:sz w:val="24"/>
          <w:szCs w:val="24"/>
        </w:rPr>
        <w:t xml:space="preserve">Universal screeners that measure early language and literacy development, mathematical thinking, physical well-being, and social-emotional development are to be replaced with screeners that measure only language and literacy.  The screener must be aligned with first and second-grade standards for English/language arts. </w:t>
      </w:r>
    </w:p>
    <w:p w14:paraId="50E129FD" w14:textId="77777777" w:rsidR="001D70C5" w:rsidRDefault="001D70C5" w:rsidP="001D70C5">
      <w:pPr>
        <w:pStyle w:val="ListParagraph"/>
        <w:spacing w:after="200" w:line="276" w:lineRule="auto"/>
        <w:ind w:left="360"/>
        <w:rPr>
          <w:rFonts w:eastAsia="Calibri" w:cs="Times New Roman"/>
          <w:bCs/>
          <w:iCs/>
          <w:sz w:val="24"/>
          <w:szCs w:val="24"/>
        </w:rPr>
      </w:pPr>
    </w:p>
    <w:p w14:paraId="0B9715D8" w14:textId="77777777" w:rsidR="001D70C5" w:rsidRDefault="0016120A" w:rsidP="001D70C5">
      <w:pPr>
        <w:pStyle w:val="ListParagraph"/>
        <w:spacing w:after="200" w:line="276" w:lineRule="auto"/>
        <w:ind w:left="360"/>
        <w:rPr>
          <w:rFonts w:eastAsia="Calibri" w:cs="Times New Roman"/>
          <w:bCs/>
          <w:iCs/>
          <w:sz w:val="24"/>
          <w:szCs w:val="24"/>
        </w:rPr>
      </w:pPr>
      <w:r w:rsidRPr="0016120A">
        <w:rPr>
          <w:rFonts w:eastAsia="Calibri" w:cs="Times New Roman"/>
          <w:bCs/>
          <w:iCs/>
          <w:sz w:val="24"/>
          <w:szCs w:val="24"/>
        </w:rPr>
        <w:t>"Substantially Fails to Demonstrate Third-Grade Reading Proficiency" means a student who does not demonstrate reading proficiency at the end of the third grade as indicated by scoring Does Not Meet Expectations.  Current law sets that at a level equivalent to “Not Met 1” on the Palmetto Assessment of State Standards.  Districts must report the number of first and second-grade students who are projected to score “Does Not Meet” on the statewide assessment.</w:t>
      </w:r>
      <w:r w:rsidR="001D70C5">
        <w:rPr>
          <w:rFonts w:eastAsia="Calibri" w:cs="Times New Roman"/>
          <w:bCs/>
          <w:iCs/>
          <w:sz w:val="24"/>
          <w:szCs w:val="24"/>
        </w:rPr>
        <w:t xml:space="preserve"> </w:t>
      </w:r>
      <w:r w:rsidRPr="0016120A">
        <w:rPr>
          <w:rFonts w:eastAsia="Calibri" w:cs="Times New Roman"/>
          <w:bCs/>
          <w:iCs/>
          <w:sz w:val="24"/>
          <w:szCs w:val="24"/>
        </w:rPr>
        <w:t xml:space="preserve">Students scoring “Substantially Fails" could no longer be promoted based solely on a reading portfolio; however, district superintendents may allow advancement if the teacher submits documentation showing reading proficiency.  </w:t>
      </w:r>
    </w:p>
    <w:p w14:paraId="79706882" w14:textId="77777777" w:rsidR="001D70C5" w:rsidRDefault="001D70C5" w:rsidP="001D70C5">
      <w:pPr>
        <w:pStyle w:val="ListParagraph"/>
        <w:spacing w:after="200" w:line="276" w:lineRule="auto"/>
        <w:ind w:left="360"/>
        <w:rPr>
          <w:rFonts w:eastAsia="Calibri" w:cs="Times New Roman"/>
          <w:bCs/>
          <w:iCs/>
          <w:sz w:val="24"/>
          <w:szCs w:val="24"/>
        </w:rPr>
      </w:pPr>
    </w:p>
    <w:p w14:paraId="004045C1" w14:textId="07BE7783" w:rsidR="0016120A" w:rsidRPr="0016120A" w:rsidRDefault="0016120A" w:rsidP="001D70C5">
      <w:pPr>
        <w:pStyle w:val="ListParagraph"/>
        <w:spacing w:after="200" w:line="276" w:lineRule="auto"/>
        <w:ind w:left="360"/>
        <w:rPr>
          <w:rFonts w:eastAsia="Calibri" w:cs="Times New Roman"/>
          <w:bCs/>
          <w:iCs/>
          <w:sz w:val="24"/>
          <w:szCs w:val="24"/>
        </w:rPr>
      </w:pPr>
      <w:r w:rsidRPr="0016120A">
        <w:rPr>
          <w:rFonts w:eastAsia="Calibri" w:cs="Times New Roman"/>
          <w:bCs/>
          <w:iCs/>
          <w:sz w:val="24"/>
          <w:szCs w:val="24"/>
        </w:rPr>
        <w:t>Students in kindergarten through grade two who do not demonstrate reading proficiency must be given additional support in foundational literacy skills. Interventions must be at least thirty minutes daily in duration and be in addition to the minimum of ninety minutes of daily reading and writing instruction.</w:t>
      </w:r>
      <w:r w:rsidR="001D70C5">
        <w:rPr>
          <w:rFonts w:eastAsia="Calibri" w:cs="Times New Roman"/>
          <w:bCs/>
          <w:iCs/>
          <w:sz w:val="24"/>
          <w:szCs w:val="24"/>
        </w:rPr>
        <w:t xml:space="preserve"> </w:t>
      </w:r>
      <w:r w:rsidRPr="0016120A">
        <w:rPr>
          <w:rFonts w:eastAsia="Calibri" w:cs="Times New Roman"/>
          <w:bCs/>
          <w:iCs/>
          <w:sz w:val="24"/>
          <w:szCs w:val="24"/>
        </w:rPr>
        <w:t>Summer reading camps must be open to all students in kindergarten through third grade who do not exhibit grade-level reading proficiency. Students at any grade who do not exhibit reading proficiency and do not meet the good cause exemption may be included in the camps.</w:t>
      </w:r>
    </w:p>
    <w:p w14:paraId="5B76AA35" w14:textId="77777777" w:rsidR="00A359B8" w:rsidRDefault="00A359B8" w:rsidP="00B457AB">
      <w:pPr>
        <w:pStyle w:val="ListParagraph"/>
        <w:spacing w:after="200" w:line="276" w:lineRule="auto"/>
        <w:ind w:left="360"/>
        <w:rPr>
          <w:rFonts w:eastAsia="Calibri" w:cs="Times New Roman"/>
          <w:b/>
          <w:i/>
          <w:sz w:val="24"/>
          <w:szCs w:val="24"/>
        </w:rPr>
      </w:pPr>
    </w:p>
    <w:p w14:paraId="726C928F" w14:textId="5C66C053" w:rsidR="00A359B8" w:rsidRDefault="001D70C5" w:rsidP="00B457AB">
      <w:pPr>
        <w:pStyle w:val="ListParagraph"/>
        <w:spacing w:after="200" w:line="276" w:lineRule="auto"/>
        <w:ind w:left="360"/>
        <w:rPr>
          <w:rFonts w:eastAsia="Calibri" w:cs="Times New Roman"/>
          <w:b/>
          <w:i/>
          <w:sz w:val="24"/>
          <w:szCs w:val="24"/>
        </w:rPr>
      </w:pPr>
      <w:r>
        <w:rPr>
          <w:rFonts w:eastAsia="Calibri" w:cs="Times New Roman"/>
          <w:b/>
          <w:i/>
          <w:sz w:val="24"/>
          <w:szCs w:val="24"/>
        </w:rPr>
        <w:t>(Senate bill 418 was amended by the House and returned to the Senate on May 4, 2023.)</w:t>
      </w:r>
    </w:p>
    <w:p w14:paraId="7850494F" w14:textId="43BE4373" w:rsidR="001D70C5" w:rsidRPr="00DD048F" w:rsidRDefault="001D70C5" w:rsidP="00CE3F70">
      <w:pPr>
        <w:spacing w:after="200" w:line="276" w:lineRule="auto"/>
        <w:rPr>
          <w:rFonts w:eastAsia="Calibri" w:cs="Times New Roman"/>
          <w:b/>
          <w:sz w:val="24"/>
          <w:szCs w:val="24"/>
          <w:u w:val="single"/>
        </w:rPr>
      </w:pPr>
    </w:p>
    <w:p w14:paraId="4838B0D0" w14:textId="747F76AE" w:rsidR="001740EA" w:rsidRDefault="001740EA" w:rsidP="001740EA">
      <w:pPr>
        <w:spacing w:after="200" w:line="276" w:lineRule="auto"/>
        <w:rPr>
          <w:rFonts w:eastAsia="Calibri" w:cs="Times New Roman"/>
          <w:b/>
          <w:sz w:val="24"/>
          <w:szCs w:val="24"/>
          <w:u w:val="single"/>
        </w:rPr>
      </w:pPr>
      <w:r>
        <w:rPr>
          <w:rFonts w:eastAsia="Calibri" w:cs="Times New Roman"/>
          <w:b/>
          <w:sz w:val="32"/>
          <w:szCs w:val="32"/>
          <w:u w:val="single"/>
        </w:rPr>
        <w:t>EARLY CHILDHOOD</w:t>
      </w:r>
      <w:r w:rsidRPr="009C7BBA">
        <w:rPr>
          <w:rFonts w:eastAsia="Calibri" w:cs="Times New Roman"/>
          <w:b/>
          <w:sz w:val="32"/>
          <w:szCs w:val="32"/>
          <w:u w:val="single"/>
        </w:rPr>
        <w:t xml:space="preserve"> EDUCATION</w:t>
      </w:r>
    </w:p>
    <w:p w14:paraId="229B44CB" w14:textId="77777777" w:rsidR="00D14D82" w:rsidRDefault="00D14D82" w:rsidP="00D14D82">
      <w:pPr>
        <w:jc w:val="center"/>
        <w:rPr>
          <w:sz w:val="24"/>
          <w:szCs w:val="24"/>
          <w:u w:val="single"/>
        </w:rPr>
      </w:pPr>
      <w:r>
        <w:rPr>
          <w:sz w:val="24"/>
          <w:szCs w:val="24"/>
          <w:u w:val="single"/>
        </w:rPr>
        <w:t>BILLS ADOPTED BY THE GENERAL ASSEMBLY</w:t>
      </w:r>
    </w:p>
    <w:p w14:paraId="6B646D22" w14:textId="77777777" w:rsidR="00D14D82" w:rsidRDefault="00D14D82" w:rsidP="00D14D82">
      <w:pPr>
        <w:jc w:val="center"/>
        <w:rPr>
          <w:sz w:val="24"/>
          <w:szCs w:val="24"/>
          <w:u w:val="single"/>
        </w:rPr>
      </w:pPr>
    </w:p>
    <w:p w14:paraId="26C9A234" w14:textId="1D1CF098" w:rsidR="001740EA" w:rsidRPr="001B3123" w:rsidRDefault="00D14D82" w:rsidP="001740EA">
      <w:pPr>
        <w:pStyle w:val="ListParagraph"/>
        <w:numPr>
          <w:ilvl w:val="0"/>
          <w:numId w:val="28"/>
        </w:numPr>
        <w:spacing w:after="200" w:line="276" w:lineRule="auto"/>
        <w:rPr>
          <w:rFonts w:eastAsia="Calibri" w:cs="Times New Roman"/>
          <w:b/>
          <w:sz w:val="32"/>
          <w:szCs w:val="32"/>
          <w:u w:val="single"/>
        </w:rPr>
      </w:pPr>
      <w:r w:rsidRPr="00D14D82">
        <w:rPr>
          <w:rFonts w:cs="Times New Roman"/>
          <w:b/>
          <w:bCs/>
          <w:sz w:val="24"/>
          <w:szCs w:val="24"/>
        </w:rPr>
        <w:t>Act 81 (</w:t>
      </w:r>
      <w:r w:rsidR="001740EA" w:rsidRPr="00D14D82">
        <w:rPr>
          <w:rFonts w:cs="Times New Roman"/>
          <w:b/>
          <w:bCs/>
          <w:sz w:val="24"/>
          <w:szCs w:val="24"/>
        </w:rPr>
        <w:t>House bill 4023</w:t>
      </w:r>
      <w:r w:rsidRPr="00D14D82">
        <w:rPr>
          <w:rFonts w:cs="Times New Roman"/>
          <w:b/>
          <w:bCs/>
          <w:sz w:val="24"/>
          <w:szCs w:val="24"/>
        </w:rPr>
        <w:t>)</w:t>
      </w:r>
      <w:r w:rsidR="001B3123">
        <w:rPr>
          <w:rFonts w:cs="Times New Roman"/>
          <w:sz w:val="24"/>
          <w:szCs w:val="24"/>
        </w:rPr>
        <w:t xml:space="preserve"> makes the following changes to </w:t>
      </w:r>
      <w:r w:rsidR="001740EA" w:rsidRPr="001740EA">
        <w:rPr>
          <w:rFonts w:cs="Times New Roman"/>
          <w:sz w:val="24"/>
          <w:szCs w:val="24"/>
        </w:rPr>
        <w:t>state law regarding First Steps to School Readiness:</w:t>
      </w:r>
    </w:p>
    <w:p w14:paraId="5F3E6A61" w14:textId="45CD2D16" w:rsidR="00C86D32" w:rsidRDefault="001740EA" w:rsidP="00C86D32">
      <w:pPr>
        <w:pStyle w:val="sccodifiedsection"/>
        <w:numPr>
          <w:ilvl w:val="0"/>
          <w:numId w:val="31"/>
        </w:numPr>
        <w:spacing w:before="0" w:beforeAutospacing="0" w:after="0" w:afterAutospacing="0" w:line="330" w:lineRule="atLeast"/>
        <w:rPr>
          <w:color w:val="000000"/>
        </w:rPr>
      </w:pPr>
      <w:r w:rsidRPr="001B3123">
        <w:rPr>
          <w:rFonts w:eastAsia="Calibri"/>
          <w:bCs/>
        </w:rPr>
        <w:t>The</w:t>
      </w:r>
      <w:r w:rsidR="001B3123" w:rsidRPr="001B3123">
        <w:rPr>
          <w:rFonts w:eastAsia="Calibri"/>
          <w:bCs/>
        </w:rPr>
        <w:t xml:space="preserve"> composition of local partnership board</w:t>
      </w:r>
      <w:r w:rsidR="001B3123">
        <w:rPr>
          <w:rFonts w:eastAsia="Calibri"/>
          <w:bCs/>
        </w:rPr>
        <w:t>s</w:t>
      </w:r>
      <w:r w:rsidR="001B3123" w:rsidRPr="001B3123">
        <w:rPr>
          <w:rFonts w:eastAsia="Calibri"/>
          <w:bCs/>
        </w:rPr>
        <w:t xml:space="preserve"> is changed</w:t>
      </w:r>
      <w:r w:rsidR="001B3123">
        <w:rPr>
          <w:rFonts w:eastAsia="Calibri"/>
          <w:bCs/>
        </w:rPr>
        <w:t>.  Instead of</w:t>
      </w:r>
      <w:r w:rsidR="00DF04EC">
        <w:rPr>
          <w:rFonts w:eastAsia="Calibri"/>
          <w:bCs/>
        </w:rPr>
        <w:t xml:space="preserve"> </w:t>
      </w:r>
      <w:r w:rsidR="001B3123">
        <w:rPr>
          <w:rFonts w:eastAsia="Calibri"/>
          <w:bCs/>
        </w:rPr>
        <w:t xml:space="preserve">a maximum of </w:t>
      </w:r>
      <w:r w:rsidR="0062788D">
        <w:rPr>
          <w:rFonts w:eastAsia="Calibri"/>
          <w:bCs/>
        </w:rPr>
        <w:t>twenty-five</w:t>
      </w:r>
      <w:r w:rsidR="00C86D32">
        <w:rPr>
          <w:rFonts w:eastAsia="Calibri"/>
          <w:bCs/>
        </w:rPr>
        <w:t xml:space="preserve"> members, the number is reduced to a maximum of twelve.  (This </w:t>
      </w:r>
      <w:r w:rsidR="00ED3398">
        <w:rPr>
          <w:rFonts w:eastAsia="Calibri"/>
          <w:bCs/>
        </w:rPr>
        <w:t xml:space="preserve">number </w:t>
      </w:r>
      <w:r w:rsidR="00C86D32">
        <w:rPr>
          <w:rFonts w:eastAsia="Calibri"/>
          <w:bCs/>
        </w:rPr>
        <w:t>could increase if there are multiple school districts in a partnership coverage area.)</w:t>
      </w:r>
      <w:r w:rsidR="001B3123" w:rsidRPr="001B3123">
        <w:rPr>
          <w:rFonts w:eastAsia="Calibri"/>
          <w:bCs/>
        </w:rPr>
        <w:t xml:space="preserve"> </w:t>
      </w:r>
    </w:p>
    <w:p w14:paraId="7B814DB0" w14:textId="77777777" w:rsidR="00C86D32" w:rsidRDefault="00C86D32" w:rsidP="00C86D32">
      <w:pPr>
        <w:pStyle w:val="sccodifiedsection"/>
        <w:spacing w:before="0" w:beforeAutospacing="0" w:after="0" w:afterAutospacing="0" w:line="330" w:lineRule="atLeast"/>
        <w:ind w:left="720"/>
        <w:rPr>
          <w:color w:val="000000"/>
        </w:rPr>
      </w:pPr>
    </w:p>
    <w:p w14:paraId="7BB1D707" w14:textId="77777777" w:rsidR="00607382" w:rsidRDefault="00607382" w:rsidP="00E95B87">
      <w:pPr>
        <w:pStyle w:val="sccodifiedsection"/>
        <w:spacing w:before="0" w:beforeAutospacing="0" w:after="0" w:afterAutospacing="0" w:line="330" w:lineRule="atLeast"/>
        <w:ind w:left="720"/>
        <w:rPr>
          <w:rFonts w:eastAsia="Calibri"/>
          <w:bCs/>
        </w:rPr>
      </w:pPr>
    </w:p>
    <w:p w14:paraId="57BC23E4" w14:textId="77777777" w:rsidR="00607382" w:rsidRDefault="00607382" w:rsidP="00E95B87">
      <w:pPr>
        <w:pStyle w:val="sccodifiedsection"/>
        <w:spacing w:before="0" w:beforeAutospacing="0" w:after="0" w:afterAutospacing="0" w:line="330" w:lineRule="atLeast"/>
        <w:ind w:left="720"/>
        <w:rPr>
          <w:rFonts w:eastAsia="Calibri"/>
          <w:bCs/>
        </w:rPr>
      </w:pPr>
    </w:p>
    <w:p w14:paraId="5EEDB7ED" w14:textId="77777777" w:rsidR="00607382" w:rsidRDefault="00607382" w:rsidP="00E95B87">
      <w:pPr>
        <w:pStyle w:val="sccodifiedsection"/>
        <w:spacing w:before="0" w:beforeAutospacing="0" w:after="0" w:afterAutospacing="0" w:line="330" w:lineRule="atLeast"/>
        <w:ind w:left="720"/>
        <w:rPr>
          <w:rFonts w:eastAsia="Calibri"/>
          <w:bCs/>
        </w:rPr>
      </w:pPr>
    </w:p>
    <w:p w14:paraId="3B8F7E04" w14:textId="77777777" w:rsidR="00607382" w:rsidRDefault="00607382" w:rsidP="00E95B87">
      <w:pPr>
        <w:pStyle w:val="sccodifiedsection"/>
        <w:spacing w:before="0" w:beforeAutospacing="0" w:after="0" w:afterAutospacing="0" w:line="330" w:lineRule="atLeast"/>
        <w:ind w:left="720"/>
        <w:rPr>
          <w:rFonts w:eastAsia="Calibri"/>
          <w:bCs/>
        </w:rPr>
      </w:pPr>
    </w:p>
    <w:p w14:paraId="2194DCC0" w14:textId="77777777" w:rsidR="00607382" w:rsidRDefault="00607382" w:rsidP="00E95B87">
      <w:pPr>
        <w:pStyle w:val="sccodifiedsection"/>
        <w:spacing w:before="0" w:beforeAutospacing="0" w:after="0" w:afterAutospacing="0" w:line="330" w:lineRule="atLeast"/>
        <w:ind w:left="720"/>
        <w:rPr>
          <w:rFonts w:eastAsia="Calibri"/>
          <w:bCs/>
        </w:rPr>
      </w:pPr>
    </w:p>
    <w:p w14:paraId="4DDC0ED0" w14:textId="0AE22AE9" w:rsidR="001740EA" w:rsidRDefault="00C86D32" w:rsidP="00E95B87">
      <w:pPr>
        <w:pStyle w:val="sccodifiedsection"/>
        <w:spacing w:before="0" w:beforeAutospacing="0" w:after="0" w:afterAutospacing="0" w:line="330" w:lineRule="atLeast"/>
        <w:ind w:left="720"/>
      </w:pPr>
      <w:r>
        <w:rPr>
          <w:rFonts w:eastAsia="Calibri"/>
          <w:bCs/>
        </w:rPr>
        <w:lastRenderedPageBreak/>
        <w:t>No</w:t>
      </w:r>
      <w:r w:rsidR="001B3123" w:rsidRPr="00C86D32">
        <w:rPr>
          <w:rFonts w:eastAsia="Calibri"/>
          <w:bCs/>
        </w:rPr>
        <w:t xml:space="preserve"> more than four members may be elected</w:t>
      </w:r>
      <w:r>
        <w:rPr>
          <w:rFonts w:eastAsia="Calibri"/>
          <w:bCs/>
        </w:rPr>
        <w:t xml:space="preserve"> by the partnership to its board</w:t>
      </w:r>
      <w:r w:rsidR="00DF04EC">
        <w:rPr>
          <w:rFonts w:eastAsia="Calibri"/>
          <w:bCs/>
        </w:rPr>
        <w:t>, and the</w:t>
      </w:r>
      <w:r w:rsidR="001B3123" w:rsidRPr="00C86D32">
        <w:rPr>
          <w:rFonts w:eastAsia="Calibri"/>
          <w:bCs/>
        </w:rPr>
        <w:t xml:space="preserve"> county legislative delegation </w:t>
      </w:r>
      <w:r w:rsidR="00DF04EC">
        <w:rPr>
          <w:rFonts w:eastAsia="Calibri"/>
          <w:bCs/>
        </w:rPr>
        <w:t>must appoint</w:t>
      </w:r>
      <w:r w:rsidR="001B3123" w:rsidRPr="00C86D32">
        <w:rPr>
          <w:rFonts w:eastAsia="Calibri"/>
          <w:bCs/>
        </w:rPr>
        <w:t xml:space="preserve"> an additional six members.  (If counties decide to create multicounty partnerships, the delegations will modify their appointments based on a plan approved by</w:t>
      </w:r>
      <w:r w:rsidR="00DF04EC">
        <w:rPr>
          <w:rFonts w:eastAsia="Calibri"/>
          <w:bCs/>
        </w:rPr>
        <w:t xml:space="preserve"> </w:t>
      </w:r>
      <w:r w:rsidR="001B3123" w:rsidRPr="00C86D32">
        <w:rPr>
          <w:rFonts w:eastAsia="Calibri"/>
          <w:bCs/>
        </w:rPr>
        <w:t xml:space="preserve">the state First Steps Board.)  The Department of Social Services, Department of </w:t>
      </w:r>
      <w:proofErr w:type="gramStart"/>
      <w:r w:rsidR="001B3123" w:rsidRPr="00C86D32">
        <w:rPr>
          <w:rFonts w:eastAsia="Calibri"/>
          <w:bCs/>
        </w:rPr>
        <w:t>Health</w:t>
      </w:r>
      <w:proofErr w:type="gramEnd"/>
      <w:r w:rsidR="001B3123" w:rsidRPr="00C86D32">
        <w:rPr>
          <w:rFonts w:eastAsia="Calibri"/>
          <w:bCs/>
        </w:rPr>
        <w:t xml:space="preserve"> and Environmental Control, and Head Start or </w:t>
      </w:r>
      <w:r w:rsidR="0062788D">
        <w:rPr>
          <w:rFonts w:eastAsia="Calibri"/>
          <w:bCs/>
        </w:rPr>
        <w:t>E</w:t>
      </w:r>
      <w:r w:rsidR="001B3123" w:rsidRPr="00C86D32">
        <w:rPr>
          <w:rFonts w:eastAsia="Calibri"/>
          <w:bCs/>
        </w:rPr>
        <w:t xml:space="preserve">arly Head Start </w:t>
      </w:r>
      <w:r w:rsidR="00DF04EC">
        <w:rPr>
          <w:rFonts w:eastAsia="Calibri"/>
          <w:bCs/>
        </w:rPr>
        <w:t xml:space="preserve">must </w:t>
      </w:r>
      <w:r w:rsidR="00053CB1" w:rsidRPr="00C86D32">
        <w:rPr>
          <w:rFonts w:eastAsia="Calibri"/>
          <w:bCs/>
        </w:rPr>
        <w:t>make</w:t>
      </w:r>
      <w:r w:rsidR="001B3123" w:rsidRPr="00C86D32">
        <w:rPr>
          <w:rFonts w:eastAsia="Calibri"/>
          <w:bCs/>
        </w:rPr>
        <w:t xml:space="preserve"> appointment recommendations to the delegations.  The </w:t>
      </w:r>
      <w:r w:rsidR="001B3123" w:rsidRPr="00C86D32">
        <w:rPr>
          <w:rStyle w:val="scinsert"/>
          <w:color w:val="000000"/>
        </w:rPr>
        <w:t xml:space="preserve">county public library located within a </w:t>
      </w:r>
      <w:r>
        <w:rPr>
          <w:rStyle w:val="scinsert"/>
          <w:color w:val="000000"/>
        </w:rPr>
        <w:t>local partnership</w:t>
      </w:r>
      <w:r w:rsidR="001B3123" w:rsidRPr="00C86D32">
        <w:rPr>
          <w:rStyle w:val="scinsert"/>
          <w:color w:val="000000"/>
        </w:rPr>
        <w:t xml:space="preserve"> coverage area must recommend one employee for appointment by its county council to serve </w:t>
      </w:r>
      <w:r w:rsidR="00053CB1">
        <w:rPr>
          <w:rStyle w:val="scinsert"/>
          <w:color w:val="000000"/>
        </w:rPr>
        <w:t>on the</w:t>
      </w:r>
      <w:r w:rsidR="001B3123" w:rsidRPr="00C86D32">
        <w:rPr>
          <w:rStyle w:val="scinsert"/>
          <w:color w:val="000000"/>
        </w:rPr>
        <w:t xml:space="preserve"> partnership. Each public school district board located within a particular </w:t>
      </w:r>
      <w:r w:rsidR="00DF04EC">
        <w:rPr>
          <w:rStyle w:val="scinsert"/>
          <w:color w:val="000000"/>
        </w:rPr>
        <w:t>local partnership</w:t>
      </w:r>
      <w:r w:rsidR="001B3123" w:rsidRPr="00C86D32">
        <w:rPr>
          <w:rStyle w:val="scinsert"/>
          <w:color w:val="000000"/>
        </w:rPr>
        <w:t xml:space="preserve"> coverage area must appoint one of its employees to serve as a member of the local partnership.</w:t>
      </w:r>
      <w:r>
        <w:rPr>
          <w:rStyle w:val="scinsert"/>
          <w:color w:val="000000"/>
        </w:rPr>
        <w:t xml:space="preserve"> </w:t>
      </w:r>
      <w:r w:rsidR="001B3123">
        <w:rPr>
          <w:color w:val="000000"/>
        </w:rPr>
        <w:t xml:space="preserve">Legislative delegations may designate some or </w:t>
      </w:r>
      <w:proofErr w:type="gramStart"/>
      <w:r w:rsidR="001B3123">
        <w:rPr>
          <w:color w:val="000000"/>
        </w:rPr>
        <w:t>all of</w:t>
      </w:r>
      <w:proofErr w:type="gramEnd"/>
      <w:r w:rsidR="001B3123">
        <w:rPr>
          <w:color w:val="000000"/>
        </w:rPr>
        <w:t xml:space="preserve"> its appointments to </w:t>
      </w:r>
      <w:r>
        <w:rPr>
          <w:color w:val="000000"/>
        </w:rPr>
        <w:t xml:space="preserve">the </w:t>
      </w:r>
      <w:r w:rsidR="001B3123">
        <w:rPr>
          <w:color w:val="000000"/>
        </w:rPr>
        <w:t>county council.</w:t>
      </w:r>
      <w:r w:rsidR="00E95B87">
        <w:rPr>
          <w:color w:val="000000"/>
        </w:rPr>
        <w:t xml:space="preserve">  E</w:t>
      </w:r>
      <w:r w:rsidR="001740EA" w:rsidRPr="00C86D32">
        <w:t>lected partnership members may not serve in a holdover capacity.</w:t>
      </w:r>
    </w:p>
    <w:p w14:paraId="3F4378AA" w14:textId="77777777" w:rsidR="00053CB1" w:rsidRPr="00E95B87" w:rsidRDefault="00053CB1" w:rsidP="00E95B87">
      <w:pPr>
        <w:pStyle w:val="sccodifiedsection"/>
        <w:spacing w:before="0" w:beforeAutospacing="0" w:after="0" w:afterAutospacing="0" w:line="330" w:lineRule="atLeast"/>
        <w:ind w:left="720"/>
        <w:rPr>
          <w:color w:val="000000"/>
        </w:rPr>
      </w:pPr>
    </w:p>
    <w:p w14:paraId="0AF2873E" w14:textId="5E3A9309" w:rsidR="001740EA" w:rsidRPr="00C576E9" w:rsidRDefault="00C86D32" w:rsidP="00C576E9">
      <w:pPr>
        <w:pStyle w:val="ListParagraph"/>
        <w:numPr>
          <w:ilvl w:val="0"/>
          <w:numId w:val="31"/>
        </w:numPr>
        <w:rPr>
          <w:rFonts w:cs="Times New Roman"/>
          <w:sz w:val="24"/>
          <w:szCs w:val="24"/>
        </w:rPr>
      </w:pPr>
      <w:r>
        <w:rPr>
          <w:rFonts w:cs="Times New Roman"/>
          <w:sz w:val="24"/>
          <w:szCs w:val="24"/>
        </w:rPr>
        <w:t>L</w:t>
      </w:r>
      <w:r w:rsidR="001740EA" w:rsidRPr="001740EA">
        <w:rPr>
          <w:rFonts w:cs="Times New Roman"/>
          <w:sz w:val="24"/>
          <w:szCs w:val="24"/>
        </w:rPr>
        <w:t xml:space="preserve">ocal partnerships </w:t>
      </w:r>
      <w:r>
        <w:rPr>
          <w:rFonts w:cs="Times New Roman"/>
          <w:sz w:val="24"/>
          <w:szCs w:val="24"/>
        </w:rPr>
        <w:t>must</w:t>
      </w:r>
      <w:r w:rsidR="001740EA" w:rsidRPr="001740EA">
        <w:rPr>
          <w:rFonts w:cs="Times New Roman"/>
          <w:sz w:val="24"/>
          <w:szCs w:val="24"/>
        </w:rPr>
        <w:t xml:space="preserve"> obtain approval from the First Steps Board of Trustees when hiring an executive director or increasing the director’s salary.  Local boards must provide performance reviews </w:t>
      </w:r>
      <w:r w:rsidR="00ED3398">
        <w:rPr>
          <w:rFonts w:cs="Times New Roman"/>
          <w:sz w:val="24"/>
          <w:szCs w:val="24"/>
        </w:rPr>
        <w:t xml:space="preserve">regarding their executive director </w:t>
      </w:r>
      <w:r w:rsidR="001740EA" w:rsidRPr="001740EA">
        <w:rPr>
          <w:rFonts w:cs="Times New Roman"/>
          <w:sz w:val="24"/>
          <w:szCs w:val="24"/>
        </w:rPr>
        <w:t xml:space="preserve">to the First Steps Board.  When counties opt to create a multi-county partnership, approval by the First Steps Board is required.  </w:t>
      </w:r>
      <w:r w:rsidR="00C576E9" w:rsidRPr="00C86D32">
        <w:rPr>
          <w:rFonts w:cs="Times New Roman"/>
          <w:sz w:val="24"/>
          <w:szCs w:val="24"/>
        </w:rPr>
        <w:t>First Steps must establish personnel policies and procedures for local partnerships and create a standard process for reviewing the performance of local partnership executive directors.</w:t>
      </w:r>
    </w:p>
    <w:p w14:paraId="153B1152" w14:textId="77777777" w:rsidR="001740EA" w:rsidRPr="001740EA" w:rsidRDefault="001740EA" w:rsidP="001740EA">
      <w:pPr>
        <w:pStyle w:val="ListParagraph"/>
        <w:ind w:left="360"/>
        <w:rPr>
          <w:rFonts w:cs="Times New Roman"/>
          <w:sz w:val="24"/>
          <w:szCs w:val="24"/>
        </w:rPr>
      </w:pPr>
    </w:p>
    <w:p w14:paraId="16142852" w14:textId="08279B89" w:rsidR="001740EA" w:rsidRPr="001740EA" w:rsidRDefault="00C86D32" w:rsidP="00C86D32">
      <w:pPr>
        <w:pStyle w:val="ListParagraph"/>
        <w:numPr>
          <w:ilvl w:val="0"/>
          <w:numId w:val="31"/>
        </w:numPr>
        <w:rPr>
          <w:rFonts w:cs="Times New Roman"/>
          <w:sz w:val="24"/>
          <w:szCs w:val="24"/>
        </w:rPr>
      </w:pPr>
      <w:r>
        <w:rPr>
          <w:rFonts w:cs="Times New Roman"/>
          <w:sz w:val="24"/>
          <w:szCs w:val="24"/>
        </w:rPr>
        <w:t xml:space="preserve">The State Board, in consultation with the Office of Procurement, </w:t>
      </w:r>
      <w:r w:rsidR="00C576E9">
        <w:rPr>
          <w:rFonts w:cs="Times New Roman"/>
          <w:sz w:val="24"/>
          <w:szCs w:val="24"/>
        </w:rPr>
        <w:t xml:space="preserve">must </w:t>
      </w:r>
      <w:r>
        <w:rPr>
          <w:rFonts w:cs="Times New Roman"/>
          <w:sz w:val="24"/>
          <w:szCs w:val="24"/>
        </w:rPr>
        <w:t xml:space="preserve">develop </w:t>
      </w:r>
      <w:r w:rsidRPr="001740EA">
        <w:rPr>
          <w:rFonts w:cs="Times New Roman"/>
          <w:sz w:val="24"/>
          <w:szCs w:val="24"/>
        </w:rPr>
        <w:t>procurement policies and procedures</w:t>
      </w:r>
      <w:r w:rsidR="00C576E9">
        <w:rPr>
          <w:rFonts w:cs="Times New Roman"/>
          <w:sz w:val="24"/>
          <w:szCs w:val="24"/>
        </w:rPr>
        <w:t xml:space="preserve"> that the l</w:t>
      </w:r>
      <w:r w:rsidR="001740EA" w:rsidRPr="001740EA">
        <w:rPr>
          <w:rFonts w:cs="Times New Roman"/>
          <w:sz w:val="24"/>
          <w:szCs w:val="24"/>
        </w:rPr>
        <w:t>ocal partnerships must adopt</w:t>
      </w:r>
      <w:r>
        <w:rPr>
          <w:rFonts w:cs="Times New Roman"/>
          <w:sz w:val="24"/>
          <w:szCs w:val="24"/>
        </w:rPr>
        <w:t>.</w:t>
      </w:r>
    </w:p>
    <w:p w14:paraId="1E5B87BD" w14:textId="77777777" w:rsidR="001740EA" w:rsidRPr="001740EA" w:rsidRDefault="001740EA" w:rsidP="001740EA">
      <w:pPr>
        <w:pStyle w:val="ListParagraph"/>
        <w:ind w:left="360"/>
        <w:rPr>
          <w:rFonts w:cs="Times New Roman"/>
          <w:sz w:val="24"/>
          <w:szCs w:val="24"/>
        </w:rPr>
      </w:pPr>
    </w:p>
    <w:p w14:paraId="501505F6" w14:textId="72869362" w:rsidR="00C86D32" w:rsidRDefault="001740EA" w:rsidP="00DD048F">
      <w:pPr>
        <w:pStyle w:val="ListParagraph"/>
        <w:numPr>
          <w:ilvl w:val="0"/>
          <w:numId w:val="31"/>
        </w:numPr>
        <w:rPr>
          <w:rFonts w:cs="Times New Roman"/>
          <w:sz w:val="24"/>
          <w:szCs w:val="24"/>
        </w:rPr>
      </w:pPr>
      <w:r w:rsidRPr="001740EA">
        <w:rPr>
          <w:rFonts w:cs="Times New Roman"/>
          <w:sz w:val="24"/>
          <w:szCs w:val="24"/>
        </w:rPr>
        <w:t>All publicly funded early childhood-serving agencies and entities must participate in data sharing initiatives supported by the Early Childhood Advisory Council (ECAC).</w:t>
      </w:r>
    </w:p>
    <w:p w14:paraId="03171201" w14:textId="77777777" w:rsidR="00ED3398" w:rsidRPr="00ED3398" w:rsidRDefault="00ED3398" w:rsidP="00ED3398">
      <w:pPr>
        <w:pStyle w:val="ListParagraph"/>
        <w:rPr>
          <w:rFonts w:cs="Times New Roman"/>
          <w:sz w:val="24"/>
          <w:szCs w:val="24"/>
        </w:rPr>
      </w:pPr>
    </w:p>
    <w:p w14:paraId="4CC53546" w14:textId="77777777" w:rsidR="00C86D32" w:rsidRDefault="001740EA" w:rsidP="00C86D32">
      <w:pPr>
        <w:pStyle w:val="ListParagraph"/>
        <w:numPr>
          <w:ilvl w:val="0"/>
          <w:numId w:val="31"/>
        </w:numPr>
        <w:rPr>
          <w:rFonts w:cs="Times New Roman"/>
          <w:sz w:val="24"/>
          <w:szCs w:val="24"/>
        </w:rPr>
      </w:pPr>
      <w:r w:rsidRPr="00C86D32">
        <w:rPr>
          <w:rFonts w:cs="Times New Roman"/>
          <w:sz w:val="24"/>
          <w:szCs w:val="24"/>
        </w:rPr>
        <w:t xml:space="preserve">The Department of Mental Health is given an </w:t>
      </w:r>
      <w:r w:rsidRPr="00C576E9">
        <w:rPr>
          <w:rFonts w:cs="Times New Roman"/>
          <w:i/>
          <w:iCs/>
          <w:sz w:val="24"/>
          <w:szCs w:val="24"/>
        </w:rPr>
        <w:t>ex officio</w:t>
      </w:r>
      <w:r w:rsidRPr="00C86D32">
        <w:rPr>
          <w:rFonts w:cs="Times New Roman"/>
          <w:sz w:val="24"/>
          <w:szCs w:val="24"/>
        </w:rPr>
        <w:t xml:space="preserve"> appointment to the First Steps Board.</w:t>
      </w:r>
    </w:p>
    <w:p w14:paraId="449995A5" w14:textId="77777777" w:rsidR="00C86D32" w:rsidRPr="00C86D32" w:rsidRDefault="00C86D32" w:rsidP="00C86D32">
      <w:pPr>
        <w:pStyle w:val="ListParagraph"/>
        <w:rPr>
          <w:rFonts w:cs="Times New Roman"/>
          <w:b/>
          <w:bCs/>
          <w:sz w:val="24"/>
          <w:szCs w:val="24"/>
        </w:rPr>
      </w:pPr>
    </w:p>
    <w:p w14:paraId="18C37806" w14:textId="4A7986BF" w:rsidR="00C86D32" w:rsidRDefault="001740EA" w:rsidP="00C86D32">
      <w:pPr>
        <w:pStyle w:val="ListParagraph"/>
        <w:numPr>
          <w:ilvl w:val="0"/>
          <w:numId w:val="31"/>
        </w:numPr>
        <w:rPr>
          <w:rFonts w:cs="Times New Roman"/>
          <w:sz w:val="24"/>
          <w:szCs w:val="24"/>
        </w:rPr>
      </w:pPr>
      <w:r w:rsidRPr="00C86D32">
        <w:rPr>
          <w:rFonts w:cs="Times New Roman"/>
          <w:sz w:val="24"/>
          <w:szCs w:val="24"/>
        </w:rPr>
        <w:t>ECAC must serve as the governing body for an early childhood data collection system</w:t>
      </w:r>
      <w:r w:rsidR="00ED3398">
        <w:rPr>
          <w:rFonts w:cs="Times New Roman"/>
          <w:sz w:val="24"/>
          <w:szCs w:val="24"/>
        </w:rPr>
        <w:t xml:space="preserve"> and is</w:t>
      </w:r>
      <w:r w:rsidRPr="00C86D32">
        <w:rPr>
          <w:rFonts w:cs="Times New Roman"/>
          <w:sz w:val="24"/>
          <w:szCs w:val="24"/>
        </w:rPr>
        <w:t xml:space="preserve"> required to develop and maintain parent knowledge-building activities including portals to inform parents about programs.</w:t>
      </w:r>
      <w:r w:rsidR="00C86D32">
        <w:rPr>
          <w:rFonts w:cs="Times New Roman"/>
          <w:sz w:val="24"/>
          <w:szCs w:val="24"/>
        </w:rPr>
        <w:t xml:space="preserve">  </w:t>
      </w:r>
      <w:r w:rsidRPr="00C86D32">
        <w:rPr>
          <w:rFonts w:cs="Times New Roman"/>
          <w:sz w:val="24"/>
          <w:szCs w:val="24"/>
        </w:rPr>
        <w:t>A five-year strategic plan must be developed by ECAC.</w:t>
      </w:r>
    </w:p>
    <w:p w14:paraId="4DC42568" w14:textId="77777777" w:rsidR="00C86D32" w:rsidRPr="00C576E9" w:rsidRDefault="00C86D32" w:rsidP="00C576E9">
      <w:pPr>
        <w:rPr>
          <w:rFonts w:cs="Times New Roman"/>
          <w:sz w:val="24"/>
          <w:szCs w:val="24"/>
        </w:rPr>
      </w:pPr>
    </w:p>
    <w:p w14:paraId="76B53B46" w14:textId="557CFC99" w:rsidR="00C57ABB" w:rsidRDefault="001740EA" w:rsidP="00C57ABB">
      <w:pPr>
        <w:pStyle w:val="ListParagraph"/>
        <w:numPr>
          <w:ilvl w:val="0"/>
          <w:numId w:val="31"/>
        </w:numPr>
        <w:rPr>
          <w:rFonts w:cs="Times New Roman"/>
          <w:sz w:val="24"/>
          <w:szCs w:val="24"/>
        </w:rPr>
      </w:pPr>
      <w:r w:rsidRPr="00C86D32">
        <w:rPr>
          <w:rFonts w:cs="Times New Roman"/>
          <w:sz w:val="24"/>
          <w:szCs w:val="24"/>
        </w:rPr>
        <w:t>First Steps to School Readiness is permanently enacted and reauthorization is no longer necessary.</w:t>
      </w:r>
    </w:p>
    <w:p w14:paraId="2FBA4912" w14:textId="77777777" w:rsidR="00C57ABB" w:rsidRPr="00C57ABB" w:rsidRDefault="00C57ABB" w:rsidP="00C57ABB">
      <w:pPr>
        <w:pStyle w:val="ListParagraph"/>
        <w:rPr>
          <w:rFonts w:cs="Times New Roman"/>
          <w:sz w:val="24"/>
          <w:szCs w:val="24"/>
        </w:rPr>
      </w:pPr>
    </w:p>
    <w:p w14:paraId="0E81BF9C" w14:textId="70335B1C" w:rsidR="00C57ABB" w:rsidRDefault="00D14D82" w:rsidP="00C57ABB">
      <w:pPr>
        <w:pStyle w:val="ListParagraph"/>
        <w:ind w:left="360"/>
        <w:rPr>
          <w:rFonts w:cs="Times New Roman"/>
          <w:sz w:val="24"/>
          <w:szCs w:val="24"/>
        </w:rPr>
      </w:pPr>
      <w:r w:rsidRPr="00D14D82">
        <w:rPr>
          <w:rFonts w:cs="Times New Roman"/>
          <w:b/>
          <w:bCs/>
          <w:i/>
          <w:iCs/>
          <w:sz w:val="24"/>
          <w:szCs w:val="24"/>
        </w:rPr>
        <w:t xml:space="preserve">(Act </w:t>
      </w:r>
      <w:r>
        <w:rPr>
          <w:rFonts w:cs="Times New Roman"/>
          <w:b/>
          <w:bCs/>
          <w:i/>
          <w:iCs/>
          <w:sz w:val="24"/>
          <w:szCs w:val="24"/>
        </w:rPr>
        <w:t>81</w:t>
      </w:r>
      <w:r w:rsidRPr="00D14D82">
        <w:rPr>
          <w:rFonts w:cs="Times New Roman"/>
          <w:b/>
          <w:bCs/>
          <w:i/>
          <w:iCs/>
          <w:sz w:val="24"/>
          <w:szCs w:val="24"/>
        </w:rPr>
        <w:t xml:space="preserve"> was signed by the Governor on June </w:t>
      </w:r>
      <w:r>
        <w:rPr>
          <w:rFonts w:cs="Times New Roman"/>
          <w:b/>
          <w:bCs/>
          <w:i/>
          <w:iCs/>
          <w:sz w:val="24"/>
          <w:szCs w:val="24"/>
        </w:rPr>
        <w:t>26</w:t>
      </w:r>
      <w:r w:rsidRPr="00D14D82">
        <w:rPr>
          <w:rFonts w:cs="Times New Roman"/>
          <w:b/>
          <w:bCs/>
          <w:i/>
          <w:iCs/>
          <w:sz w:val="24"/>
          <w:szCs w:val="24"/>
        </w:rPr>
        <w:t>, 2023.)</w:t>
      </w:r>
    </w:p>
    <w:p w14:paraId="032FA5A6" w14:textId="77777777" w:rsidR="00C57ABB" w:rsidRPr="00C57ABB" w:rsidRDefault="00C57ABB" w:rsidP="00C57ABB">
      <w:pPr>
        <w:pStyle w:val="ListParagraph"/>
        <w:ind w:left="360"/>
        <w:rPr>
          <w:rFonts w:cs="Times New Roman"/>
          <w:sz w:val="24"/>
          <w:szCs w:val="24"/>
        </w:rPr>
      </w:pPr>
    </w:p>
    <w:p w14:paraId="42FD7827" w14:textId="77777777" w:rsidR="00D14D82" w:rsidRDefault="00D14D82" w:rsidP="00CE3F70">
      <w:pPr>
        <w:spacing w:after="200" w:line="276" w:lineRule="auto"/>
        <w:rPr>
          <w:rFonts w:eastAsia="Calibri" w:cs="Times New Roman"/>
          <w:b/>
          <w:sz w:val="32"/>
          <w:szCs w:val="32"/>
          <w:u w:val="single"/>
        </w:rPr>
      </w:pPr>
    </w:p>
    <w:p w14:paraId="0CEFCB23" w14:textId="77777777" w:rsidR="00607382" w:rsidRDefault="00607382" w:rsidP="00CE3F70">
      <w:pPr>
        <w:spacing w:after="200" w:line="276" w:lineRule="auto"/>
        <w:rPr>
          <w:rFonts w:eastAsia="Calibri" w:cs="Times New Roman"/>
          <w:b/>
          <w:sz w:val="32"/>
          <w:szCs w:val="32"/>
          <w:u w:val="single"/>
        </w:rPr>
      </w:pPr>
    </w:p>
    <w:p w14:paraId="4225E567" w14:textId="77777777" w:rsidR="00607382" w:rsidRDefault="00607382" w:rsidP="00CE3F70">
      <w:pPr>
        <w:spacing w:after="200" w:line="276" w:lineRule="auto"/>
        <w:rPr>
          <w:rFonts w:eastAsia="Calibri" w:cs="Times New Roman"/>
          <w:b/>
          <w:sz w:val="32"/>
          <w:szCs w:val="32"/>
          <w:u w:val="single"/>
        </w:rPr>
      </w:pPr>
    </w:p>
    <w:p w14:paraId="6AEB5452" w14:textId="77777777" w:rsidR="00607382" w:rsidRDefault="00607382" w:rsidP="00CE3F70">
      <w:pPr>
        <w:spacing w:after="200" w:line="276" w:lineRule="auto"/>
        <w:rPr>
          <w:rFonts w:eastAsia="Calibri" w:cs="Times New Roman"/>
          <w:b/>
          <w:sz w:val="32"/>
          <w:szCs w:val="32"/>
          <w:u w:val="single"/>
        </w:rPr>
      </w:pPr>
    </w:p>
    <w:p w14:paraId="0D387B19" w14:textId="77777777" w:rsidR="00607382" w:rsidRDefault="00607382" w:rsidP="00CE3F70">
      <w:pPr>
        <w:spacing w:after="200" w:line="276" w:lineRule="auto"/>
        <w:rPr>
          <w:rFonts w:eastAsia="Calibri" w:cs="Times New Roman"/>
          <w:b/>
          <w:sz w:val="32"/>
          <w:szCs w:val="32"/>
          <w:u w:val="single"/>
        </w:rPr>
      </w:pPr>
    </w:p>
    <w:p w14:paraId="3918692B" w14:textId="77777777" w:rsidR="00607382" w:rsidRDefault="00607382" w:rsidP="00CE3F70">
      <w:pPr>
        <w:spacing w:after="200" w:line="276" w:lineRule="auto"/>
        <w:rPr>
          <w:rFonts w:eastAsia="Calibri" w:cs="Times New Roman"/>
          <w:b/>
          <w:sz w:val="32"/>
          <w:szCs w:val="32"/>
          <w:u w:val="single"/>
        </w:rPr>
      </w:pPr>
    </w:p>
    <w:p w14:paraId="7B8B37B9" w14:textId="77777777" w:rsidR="00607382" w:rsidRDefault="00607382" w:rsidP="00CE3F70">
      <w:pPr>
        <w:spacing w:after="200" w:line="276" w:lineRule="auto"/>
        <w:rPr>
          <w:rFonts w:eastAsia="Calibri" w:cs="Times New Roman"/>
          <w:b/>
          <w:sz w:val="32"/>
          <w:szCs w:val="32"/>
          <w:u w:val="single"/>
        </w:rPr>
      </w:pPr>
    </w:p>
    <w:p w14:paraId="3DABF484" w14:textId="6E4E0AB3" w:rsidR="00CE3F70" w:rsidRPr="009C7BBA" w:rsidRDefault="00CE3F70" w:rsidP="00CE3F70">
      <w:pPr>
        <w:spacing w:after="200" w:line="276" w:lineRule="auto"/>
        <w:rPr>
          <w:rFonts w:eastAsia="Calibri" w:cs="Times New Roman"/>
          <w:b/>
          <w:sz w:val="32"/>
          <w:szCs w:val="32"/>
          <w:u w:val="single"/>
        </w:rPr>
      </w:pPr>
      <w:r w:rsidRPr="009C7BBA">
        <w:rPr>
          <w:rFonts w:eastAsia="Calibri" w:cs="Times New Roman"/>
          <w:b/>
          <w:sz w:val="32"/>
          <w:szCs w:val="32"/>
          <w:u w:val="single"/>
        </w:rPr>
        <w:lastRenderedPageBreak/>
        <w:t>HIGHER EDUCATION</w:t>
      </w:r>
    </w:p>
    <w:p w14:paraId="08D04D10" w14:textId="77777777" w:rsidR="00F63C54" w:rsidRDefault="00F63C54" w:rsidP="00CE3F70">
      <w:pPr>
        <w:jc w:val="center"/>
        <w:rPr>
          <w:sz w:val="24"/>
          <w:szCs w:val="24"/>
          <w:u w:val="single"/>
        </w:rPr>
      </w:pPr>
    </w:p>
    <w:p w14:paraId="535C0EB6" w14:textId="77777777" w:rsidR="00613160" w:rsidRDefault="00613160" w:rsidP="00613160">
      <w:pPr>
        <w:jc w:val="center"/>
        <w:rPr>
          <w:sz w:val="24"/>
          <w:szCs w:val="24"/>
          <w:u w:val="single"/>
        </w:rPr>
      </w:pPr>
      <w:r>
        <w:rPr>
          <w:sz w:val="24"/>
          <w:szCs w:val="24"/>
          <w:u w:val="single"/>
        </w:rPr>
        <w:t>BILLS ADOPTED BY THE GENERAL ASSEMBLY</w:t>
      </w:r>
    </w:p>
    <w:p w14:paraId="0DAD4CBD" w14:textId="77777777" w:rsidR="00613160" w:rsidRDefault="00613160" w:rsidP="00613160">
      <w:pPr>
        <w:pStyle w:val="ListParagraph"/>
        <w:rPr>
          <w:rFonts w:eastAsia="Calibri" w:cs="Times New Roman"/>
          <w:sz w:val="24"/>
          <w:szCs w:val="24"/>
        </w:rPr>
      </w:pPr>
    </w:p>
    <w:p w14:paraId="4C65A25C" w14:textId="77777777" w:rsidR="00613160" w:rsidRDefault="00613160" w:rsidP="00613160"/>
    <w:p w14:paraId="721289FF" w14:textId="55305031" w:rsidR="00613160" w:rsidRPr="00613160" w:rsidRDefault="00613160" w:rsidP="00613160">
      <w:pPr>
        <w:pStyle w:val="ListParagraph"/>
        <w:numPr>
          <w:ilvl w:val="0"/>
          <w:numId w:val="29"/>
        </w:numPr>
        <w:rPr>
          <w:sz w:val="24"/>
          <w:szCs w:val="24"/>
        </w:rPr>
      </w:pPr>
      <w:r w:rsidRPr="00613160">
        <w:rPr>
          <w:b/>
          <w:bCs/>
          <w:sz w:val="24"/>
          <w:szCs w:val="24"/>
        </w:rPr>
        <w:t xml:space="preserve">Act </w:t>
      </w:r>
      <w:r w:rsidR="00756885">
        <w:rPr>
          <w:b/>
          <w:bCs/>
          <w:sz w:val="24"/>
          <w:szCs w:val="24"/>
        </w:rPr>
        <w:t>41</w:t>
      </w:r>
      <w:r w:rsidRPr="00613160">
        <w:rPr>
          <w:b/>
          <w:bCs/>
          <w:sz w:val="24"/>
          <w:szCs w:val="24"/>
        </w:rPr>
        <w:t xml:space="preserve"> of 2023 (House bill 3857)</w:t>
      </w:r>
      <w:r w:rsidRPr="00613160">
        <w:rPr>
          <w:sz w:val="24"/>
          <w:szCs w:val="24"/>
        </w:rPr>
        <w:t xml:space="preserve"> allows four-year comprehensive institutions of higher learning</w:t>
      </w:r>
      <w:r w:rsidR="00821D04">
        <w:rPr>
          <w:sz w:val="24"/>
          <w:szCs w:val="24"/>
        </w:rPr>
        <w:t xml:space="preserve"> </w:t>
      </w:r>
      <w:r w:rsidRPr="00613160">
        <w:rPr>
          <w:sz w:val="24"/>
          <w:szCs w:val="24"/>
        </w:rPr>
        <w:t xml:space="preserve">to add a new category for doctoral/professional </w:t>
      </w:r>
      <w:r w:rsidR="00821D04">
        <w:rPr>
          <w:sz w:val="24"/>
          <w:szCs w:val="24"/>
        </w:rPr>
        <w:t>degrees</w:t>
      </w:r>
      <w:r w:rsidRPr="00613160">
        <w:rPr>
          <w:sz w:val="24"/>
          <w:szCs w:val="24"/>
        </w:rPr>
        <w:t xml:space="preserve">. </w:t>
      </w:r>
      <w:r>
        <w:rPr>
          <w:sz w:val="24"/>
          <w:szCs w:val="24"/>
        </w:rPr>
        <w:t xml:space="preserve"> </w:t>
      </w:r>
      <w:r w:rsidRPr="00613160">
        <w:rPr>
          <w:sz w:val="24"/>
          <w:szCs w:val="24"/>
        </w:rPr>
        <w:t>Each individual institution may have up to five professional doctorates or P</w:t>
      </w:r>
      <w:r>
        <w:rPr>
          <w:sz w:val="24"/>
          <w:szCs w:val="24"/>
        </w:rPr>
        <w:t>h.</w:t>
      </w:r>
      <w:r w:rsidRPr="00613160">
        <w:rPr>
          <w:sz w:val="24"/>
          <w:szCs w:val="24"/>
        </w:rPr>
        <w:t>D</w:t>
      </w:r>
      <w:r>
        <w:rPr>
          <w:sz w:val="24"/>
          <w:szCs w:val="24"/>
        </w:rPr>
        <w:t>s.</w:t>
      </w:r>
      <w:r w:rsidRPr="00613160">
        <w:rPr>
          <w:sz w:val="24"/>
          <w:szCs w:val="24"/>
        </w:rPr>
        <w:t xml:space="preserve"> </w:t>
      </w:r>
    </w:p>
    <w:p w14:paraId="4C44EF07" w14:textId="77777777" w:rsidR="00613160" w:rsidRPr="00613160" w:rsidRDefault="00613160" w:rsidP="00613160">
      <w:pPr>
        <w:pStyle w:val="ListParagraph"/>
        <w:rPr>
          <w:sz w:val="24"/>
          <w:szCs w:val="24"/>
        </w:rPr>
      </w:pPr>
    </w:p>
    <w:p w14:paraId="0B92AEE5" w14:textId="0F08BFBB" w:rsidR="00613160" w:rsidRDefault="00613160" w:rsidP="00613160">
      <w:pPr>
        <w:pStyle w:val="ListParagraph"/>
        <w:ind w:left="360"/>
        <w:rPr>
          <w:b/>
          <w:bCs/>
          <w:i/>
          <w:iCs/>
          <w:sz w:val="24"/>
          <w:szCs w:val="24"/>
        </w:rPr>
      </w:pPr>
      <w:r w:rsidRPr="00613160">
        <w:rPr>
          <w:b/>
          <w:bCs/>
          <w:i/>
          <w:iCs/>
          <w:sz w:val="24"/>
          <w:szCs w:val="24"/>
        </w:rPr>
        <w:t>(</w:t>
      </w:r>
      <w:r w:rsidR="00756885">
        <w:rPr>
          <w:b/>
          <w:bCs/>
          <w:i/>
          <w:iCs/>
          <w:sz w:val="24"/>
          <w:szCs w:val="24"/>
        </w:rPr>
        <w:t>Act 41</w:t>
      </w:r>
      <w:r w:rsidRPr="00613160">
        <w:rPr>
          <w:b/>
          <w:bCs/>
          <w:i/>
          <w:iCs/>
          <w:sz w:val="24"/>
          <w:szCs w:val="24"/>
        </w:rPr>
        <w:t xml:space="preserve"> was signed by the Governor on </w:t>
      </w:r>
      <w:r>
        <w:rPr>
          <w:b/>
          <w:bCs/>
          <w:i/>
          <w:iCs/>
          <w:sz w:val="24"/>
          <w:szCs w:val="24"/>
        </w:rPr>
        <w:t>May 16, 2023</w:t>
      </w:r>
      <w:r w:rsidRPr="00613160">
        <w:rPr>
          <w:b/>
          <w:bCs/>
          <w:i/>
          <w:iCs/>
          <w:sz w:val="24"/>
          <w:szCs w:val="24"/>
        </w:rPr>
        <w:t>.)</w:t>
      </w:r>
    </w:p>
    <w:p w14:paraId="02EAC47B" w14:textId="03804E12" w:rsidR="00613160" w:rsidRDefault="00613160" w:rsidP="00613160">
      <w:pPr>
        <w:pStyle w:val="ListParagraph"/>
        <w:ind w:left="360"/>
        <w:rPr>
          <w:sz w:val="24"/>
          <w:szCs w:val="24"/>
        </w:rPr>
      </w:pPr>
    </w:p>
    <w:p w14:paraId="1B0538EE" w14:textId="77777777" w:rsidR="00613160" w:rsidRDefault="00613160" w:rsidP="00613160">
      <w:pPr>
        <w:jc w:val="center"/>
        <w:rPr>
          <w:caps/>
          <w:sz w:val="24"/>
          <w:szCs w:val="24"/>
          <w:u w:val="single"/>
        </w:rPr>
      </w:pPr>
    </w:p>
    <w:p w14:paraId="6516E2DE" w14:textId="088027C0" w:rsidR="00613160" w:rsidRPr="00B94C49" w:rsidRDefault="00613160" w:rsidP="00613160">
      <w:pPr>
        <w:jc w:val="center"/>
        <w:rPr>
          <w:caps/>
          <w:sz w:val="24"/>
          <w:szCs w:val="24"/>
          <w:u w:val="single"/>
        </w:rPr>
      </w:pPr>
      <w:r w:rsidRPr="00B94C49">
        <w:rPr>
          <w:caps/>
          <w:sz w:val="24"/>
          <w:szCs w:val="24"/>
          <w:u w:val="single"/>
        </w:rPr>
        <w:t xml:space="preserve">Bills Adopted By the House </w:t>
      </w:r>
      <w:r>
        <w:rPr>
          <w:caps/>
          <w:sz w:val="24"/>
          <w:szCs w:val="24"/>
          <w:u w:val="single"/>
        </w:rPr>
        <w:t>and awaiting</w:t>
      </w:r>
      <w:r w:rsidRPr="00B94C49">
        <w:rPr>
          <w:caps/>
          <w:sz w:val="24"/>
          <w:szCs w:val="24"/>
          <w:u w:val="single"/>
        </w:rPr>
        <w:t xml:space="preserve"> Senate</w:t>
      </w:r>
      <w:r>
        <w:rPr>
          <w:caps/>
          <w:sz w:val="24"/>
          <w:szCs w:val="24"/>
          <w:u w:val="single"/>
        </w:rPr>
        <w:t xml:space="preserve"> action</w:t>
      </w:r>
    </w:p>
    <w:p w14:paraId="3A0A38F0" w14:textId="77777777" w:rsidR="00613160" w:rsidRDefault="00613160" w:rsidP="00613160">
      <w:pPr>
        <w:jc w:val="center"/>
      </w:pPr>
    </w:p>
    <w:p w14:paraId="3537244F" w14:textId="4E774673" w:rsidR="00613160" w:rsidRPr="00613160" w:rsidRDefault="00613160" w:rsidP="00613160">
      <w:pPr>
        <w:pStyle w:val="ListParagraph"/>
        <w:numPr>
          <w:ilvl w:val="0"/>
          <w:numId w:val="29"/>
        </w:numPr>
        <w:rPr>
          <w:sz w:val="24"/>
          <w:szCs w:val="24"/>
        </w:rPr>
      </w:pPr>
      <w:r w:rsidRPr="00613160">
        <w:rPr>
          <w:b/>
          <w:bCs/>
          <w:sz w:val="24"/>
          <w:szCs w:val="24"/>
        </w:rPr>
        <w:t>House bill 3501</w:t>
      </w:r>
      <w:r w:rsidRPr="00613160">
        <w:rPr>
          <w:sz w:val="24"/>
          <w:szCs w:val="24"/>
        </w:rPr>
        <w:t xml:space="preserve"> allow</w:t>
      </w:r>
      <w:r w:rsidR="00821D04">
        <w:rPr>
          <w:sz w:val="24"/>
          <w:szCs w:val="24"/>
        </w:rPr>
        <w:t>s</w:t>
      </w:r>
      <w:r w:rsidRPr="00613160">
        <w:rPr>
          <w:sz w:val="24"/>
          <w:szCs w:val="24"/>
        </w:rPr>
        <w:t xml:space="preserve"> an exception for “certified athlete agents” who pay</w:t>
      </w:r>
      <w:r>
        <w:rPr>
          <w:sz w:val="24"/>
          <w:szCs w:val="24"/>
        </w:rPr>
        <w:t xml:space="preserve"> </w:t>
      </w:r>
      <w:r w:rsidRPr="00613160">
        <w:rPr>
          <w:sz w:val="24"/>
          <w:szCs w:val="24"/>
        </w:rPr>
        <w:t>expenses incurred before the signing of an agency contract in certain circumstances. Th</w:t>
      </w:r>
      <w:r w:rsidR="00821D04">
        <w:rPr>
          <w:sz w:val="24"/>
          <w:szCs w:val="24"/>
        </w:rPr>
        <w:t xml:space="preserve">e </w:t>
      </w:r>
      <w:r w:rsidRPr="00613160">
        <w:rPr>
          <w:sz w:val="24"/>
          <w:szCs w:val="24"/>
        </w:rPr>
        <w:t xml:space="preserve">change </w:t>
      </w:r>
      <w:r w:rsidR="00821D04">
        <w:rPr>
          <w:sz w:val="24"/>
          <w:szCs w:val="24"/>
        </w:rPr>
        <w:t>i</w:t>
      </w:r>
      <w:r w:rsidRPr="00613160">
        <w:rPr>
          <w:sz w:val="24"/>
          <w:szCs w:val="24"/>
        </w:rPr>
        <w:t xml:space="preserve">s needed due to the NCAA </w:t>
      </w:r>
      <w:r>
        <w:rPr>
          <w:sz w:val="24"/>
          <w:szCs w:val="24"/>
        </w:rPr>
        <w:t xml:space="preserve">altering </w:t>
      </w:r>
      <w:r w:rsidR="00821D04">
        <w:rPr>
          <w:sz w:val="24"/>
          <w:szCs w:val="24"/>
        </w:rPr>
        <w:t>e</w:t>
      </w:r>
      <w:r w:rsidRPr="00613160">
        <w:rPr>
          <w:sz w:val="24"/>
          <w:szCs w:val="24"/>
        </w:rPr>
        <w:t xml:space="preserve">ligibility rules to allow for payments by athlete agents to basketball student-athletes and family members for meals, hotels, and travel in connection with </w:t>
      </w:r>
      <w:r w:rsidR="00821D04">
        <w:rPr>
          <w:sz w:val="24"/>
          <w:szCs w:val="24"/>
        </w:rPr>
        <w:t xml:space="preserve">the </w:t>
      </w:r>
      <w:r w:rsidRPr="00613160">
        <w:rPr>
          <w:sz w:val="24"/>
          <w:szCs w:val="24"/>
        </w:rPr>
        <w:t xml:space="preserve">recruiting and signing the student-athlete as a client. </w:t>
      </w:r>
      <w:r w:rsidR="00821D04">
        <w:rPr>
          <w:sz w:val="24"/>
          <w:szCs w:val="24"/>
        </w:rPr>
        <w:t xml:space="preserve">This </w:t>
      </w:r>
      <w:r w:rsidR="00821D04" w:rsidRPr="00613160">
        <w:rPr>
          <w:sz w:val="24"/>
          <w:szCs w:val="24"/>
        </w:rPr>
        <w:t>bill</w:t>
      </w:r>
      <w:r w:rsidRPr="00613160">
        <w:rPr>
          <w:sz w:val="24"/>
          <w:szCs w:val="24"/>
        </w:rPr>
        <w:t xml:space="preserve"> would bring </w:t>
      </w:r>
      <w:r>
        <w:rPr>
          <w:sz w:val="24"/>
          <w:szCs w:val="24"/>
        </w:rPr>
        <w:t xml:space="preserve">the State </w:t>
      </w:r>
      <w:r w:rsidRPr="00613160">
        <w:rPr>
          <w:sz w:val="24"/>
          <w:szCs w:val="24"/>
        </w:rPr>
        <w:t>into compliance with other states who have made this change in their version of the Revised Uniform Athlete Agents Act (</w:t>
      </w:r>
      <w:proofErr w:type="spellStart"/>
      <w:r w:rsidRPr="00613160">
        <w:rPr>
          <w:sz w:val="24"/>
          <w:szCs w:val="24"/>
        </w:rPr>
        <w:t>RUAAA</w:t>
      </w:r>
      <w:proofErr w:type="spellEnd"/>
      <w:r w:rsidRPr="00613160">
        <w:rPr>
          <w:sz w:val="24"/>
          <w:szCs w:val="24"/>
        </w:rPr>
        <w:t xml:space="preserve">). </w:t>
      </w:r>
    </w:p>
    <w:p w14:paraId="1F78AB5D" w14:textId="77777777" w:rsidR="00613160" w:rsidRPr="00613160" w:rsidRDefault="00613160" w:rsidP="00613160">
      <w:pPr>
        <w:pStyle w:val="ListParagraph"/>
        <w:rPr>
          <w:sz w:val="24"/>
          <w:szCs w:val="24"/>
        </w:rPr>
      </w:pPr>
    </w:p>
    <w:p w14:paraId="7352DF41" w14:textId="0875166D" w:rsidR="00613160" w:rsidRPr="00613160" w:rsidRDefault="00613160" w:rsidP="00613160">
      <w:pPr>
        <w:pStyle w:val="ListParagraph"/>
        <w:ind w:left="360"/>
        <w:rPr>
          <w:b/>
          <w:bCs/>
          <w:i/>
          <w:iCs/>
          <w:sz w:val="24"/>
          <w:szCs w:val="24"/>
        </w:rPr>
      </w:pPr>
      <w:r w:rsidRPr="00613160">
        <w:rPr>
          <w:b/>
          <w:bCs/>
          <w:i/>
          <w:iCs/>
          <w:sz w:val="24"/>
          <w:szCs w:val="24"/>
        </w:rPr>
        <w:t>(H.</w:t>
      </w:r>
      <w:r>
        <w:rPr>
          <w:b/>
          <w:bCs/>
          <w:i/>
          <w:iCs/>
          <w:sz w:val="24"/>
          <w:szCs w:val="24"/>
        </w:rPr>
        <w:t xml:space="preserve"> </w:t>
      </w:r>
      <w:r w:rsidRPr="00613160">
        <w:rPr>
          <w:b/>
          <w:bCs/>
          <w:i/>
          <w:iCs/>
          <w:sz w:val="24"/>
          <w:szCs w:val="24"/>
        </w:rPr>
        <w:t>3501 was reported favorably by the House on May 3, 2023, and referred to the Senate Education Committee.)</w:t>
      </w:r>
    </w:p>
    <w:p w14:paraId="4D4BC3F6" w14:textId="77777777" w:rsidR="00613160" w:rsidRPr="00613160" w:rsidRDefault="00613160" w:rsidP="00613160">
      <w:pPr>
        <w:rPr>
          <w:sz w:val="24"/>
          <w:szCs w:val="24"/>
        </w:rPr>
      </w:pPr>
    </w:p>
    <w:p w14:paraId="216530BD" w14:textId="77777777" w:rsidR="00D14D82" w:rsidRDefault="00D14D82" w:rsidP="00DE0B14">
      <w:pPr>
        <w:spacing w:after="200" w:line="276" w:lineRule="auto"/>
        <w:rPr>
          <w:rFonts w:eastAsia="Calibri" w:cs="Times New Roman"/>
          <w:b/>
          <w:sz w:val="32"/>
          <w:szCs w:val="32"/>
          <w:u w:val="single"/>
        </w:rPr>
      </w:pPr>
    </w:p>
    <w:p w14:paraId="5C4257F2" w14:textId="6984A971" w:rsidR="00DE0B14" w:rsidRDefault="00DE0B14" w:rsidP="00DE0B14">
      <w:pPr>
        <w:spacing w:after="200" w:line="276" w:lineRule="auto"/>
        <w:rPr>
          <w:rFonts w:eastAsia="Calibri" w:cs="Times New Roman"/>
          <w:b/>
          <w:sz w:val="32"/>
          <w:szCs w:val="32"/>
          <w:u w:val="single"/>
        </w:rPr>
      </w:pPr>
      <w:r>
        <w:rPr>
          <w:rFonts w:eastAsia="Calibri" w:cs="Times New Roman"/>
          <w:b/>
          <w:sz w:val="32"/>
          <w:szCs w:val="32"/>
          <w:u w:val="single"/>
        </w:rPr>
        <w:t>MOTOR VEHICLES</w:t>
      </w:r>
    </w:p>
    <w:p w14:paraId="7834C869" w14:textId="77777777" w:rsidR="005F41A7" w:rsidRDefault="005F41A7" w:rsidP="005F41A7">
      <w:pPr>
        <w:spacing w:after="160" w:line="259" w:lineRule="auto"/>
        <w:jc w:val="center"/>
        <w:rPr>
          <w:rFonts w:eastAsia="Calibri" w:cs="Times New Roman"/>
          <w:sz w:val="24"/>
          <w:szCs w:val="24"/>
          <w:u w:val="single"/>
        </w:rPr>
      </w:pPr>
      <w:r w:rsidRPr="005F41A7">
        <w:rPr>
          <w:rFonts w:eastAsia="Calibri" w:cs="Times New Roman"/>
          <w:sz w:val="24"/>
          <w:szCs w:val="24"/>
          <w:u w:val="single"/>
        </w:rPr>
        <w:t>BILLS ADOPTED BY THE GENERAL ASSEMBLY</w:t>
      </w:r>
    </w:p>
    <w:p w14:paraId="3F187D83" w14:textId="23EBDA8E" w:rsidR="006C3CEC" w:rsidRPr="00DD048F" w:rsidRDefault="002F03E5" w:rsidP="00DD048F">
      <w:pPr>
        <w:numPr>
          <w:ilvl w:val="0"/>
          <w:numId w:val="5"/>
        </w:numPr>
        <w:spacing w:after="160" w:line="259" w:lineRule="auto"/>
        <w:contextualSpacing/>
        <w:jc w:val="both"/>
        <w:rPr>
          <w:rFonts w:eastAsia="Calibri" w:cs="Times New Roman"/>
          <w:b/>
          <w:i/>
          <w:sz w:val="24"/>
          <w:szCs w:val="24"/>
        </w:rPr>
      </w:pPr>
      <w:r w:rsidRPr="00895E45">
        <w:rPr>
          <w:rFonts w:eastAsia="Calibri" w:cs="Times New Roman"/>
          <w:b/>
          <w:sz w:val="24"/>
          <w:szCs w:val="24"/>
        </w:rPr>
        <w:t>Act</w:t>
      </w:r>
      <w:r w:rsidR="00756885">
        <w:rPr>
          <w:rFonts w:eastAsia="Calibri" w:cs="Times New Roman"/>
          <w:b/>
          <w:sz w:val="24"/>
          <w:szCs w:val="24"/>
        </w:rPr>
        <w:t xml:space="preserve"> 24</w:t>
      </w:r>
      <w:r w:rsidRPr="00895E45">
        <w:rPr>
          <w:rFonts w:eastAsia="Calibri" w:cs="Times New Roman"/>
          <w:b/>
          <w:sz w:val="24"/>
          <w:szCs w:val="24"/>
        </w:rPr>
        <w:t xml:space="preserve"> (Senate b</w:t>
      </w:r>
      <w:r w:rsidR="005F41A7" w:rsidRPr="00895E45">
        <w:rPr>
          <w:rFonts w:eastAsia="Calibri" w:cs="Times New Roman"/>
          <w:b/>
          <w:sz w:val="24"/>
          <w:szCs w:val="24"/>
        </w:rPr>
        <w:t xml:space="preserve">ill </w:t>
      </w:r>
      <w:r w:rsidR="006C3CEC" w:rsidRPr="00895E45">
        <w:rPr>
          <w:rFonts w:eastAsia="Calibri" w:cs="Times New Roman"/>
          <w:b/>
          <w:sz w:val="24"/>
          <w:szCs w:val="24"/>
        </w:rPr>
        <w:t>363</w:t>
      </w:r>
      <w:r w:rsidR="005F41A7" w:rsidRPr="00895E45">
        <w:rPr>
          <w:rFonts w:eastAsia="Calibri" w:cs="Times New Roman"/>
          <w:b/>
          <w:sz w:val="24"/>
          <w:szCs w:val="24"/>
        </w:rPr>
        <w:t xml:space="preserve">) </w:t>
      </w:r>
      <w:r w:rsidR="006C3CEC" w:rsidRPr="00895E45">
        <w:rPr>
          <w:rFonts w:eastAsia="Calibri" w:cs="Times New Roman"/>
          <w:bCs/>
          <w:sz w:val="24"/>
          <w:szCs w:val="24"/>
        </w:rPr>
        <w:t xml:space="preserve">prohibits vehicles from being “squatted.” </w:t>
      </w:r>
      <w:r w:rsidR="006C3CEC" w:rsidRPr="00DD048F">
        <w:rPr>
          <w:rFonts w:eastAsia="Calibri" w:cs="Times New Roman"/>
          <w:bCs/>
          <w:sz w:val="24"/>
          <w:szCs w:val="24"/>
        </w:rPr>
        <w:t xml:space="preserve">The first part of the bill </w:t>
      </w:r>
      <w:r w:rsidR="00895E45" w:rsidRPr="00DD048F">
        <w:rPr>
          <w:rFonts w:eastAsia="Calibri" w:cs="Times New Roman"/>
          <w:bCs/>
          <w:sz w:val="24"/>
          <w:szCs w:val="24"/>
        </w:rPr>
        <w:t xml:space="preserve">amends existing law so that </w:t>
      </w:r>
      <w:r w:rsidR="006C3CEC" w:rsidRPr="00DD048F">
        <w:rPr>
          <w:rFonts w:cs="Times New Roman"/>
          <w:sz w:val="24"/>
          <w:szCs w:val="24"/>
        </w:rPr>
        <w:t>passenger vehicle</w:t>
      </w:r>
      <w:r w:rsidR="00895E45" w:rsidRPr="00DD048F">
        <w:rPr>
          <w:rFonts w:cs="Times New Roman"/>
          <w:sz w:val="24"/>
          <w:szCs w:val="24"/>
        </w:rPr>
        <w:t xml:space="preserve">s may not be </w:t>
      </w:r>
      <w:r w:rsidR="006C3CEC" w:rsidRPr="00DD048F">
        <w:rPr>
          <w:rFonts w:cs="Times New Roman"/>
          <w:sz w:val="24"/>
          <w:szCs w:val="24"/>
        </w:rPr>
        <w:t xml:space="preserve">raised or lowered more than six inches off the ground even if </w:t>
      </w:r>
      <w:r w:rsidR="00895E45" w:rsidRPr="00DD048F">
        <w:rPr>
          <w:rFonts w:cs="Times New Roman"/>
          <w:sz w:val="24"/>
          <w:szCs w:val="24"/>
        </w:rPr>
        <w:t>the vehicle</w:t>
      </w:r>
      <w:r w:rsidR="006C3CEC" w:rsidRPr="00DD048F">
        <w:rPr>
          <w:rFonts w:cs="Times New Roman"/>
          <w:sz w:val="24"/>
          <w:szCs w:val="24"/>
        </w:rPr>
        <w:t xml:space="preserve"> remains leveled.  A violation of the subsection remains a misdemeanor with fines ranging from $25 to $50 and does not apply to pickup trucks.</w:t>
      </w:r>
    </w:p>
    <w:p w14:paraId="27B188EE" w14:textId="60DECF27" w:rsidR="006C3CEC" w:rsidRDefault="006C3CEC" w:rsidP="006C3CEC">
      <w:pPr>
        <w:ind w:left="360"/>
        <w:rPr>
          <w:rFonts w:cs="Times New Roman"/>
          <w:sz w:val="24"/>
          <w:szCs w:val="24"/>
        </w:rPr>
      </w:pPr>
    </w:p>
    <w:p w14:paraId="50B6A0BC" w14:textId="77777777" w:rsidR="00D14D82" w:rsidRPr="00895E45" w:rsidRDefault="00D14D82" w:rsidP="006C3CEC">
      <w:pPr>
        <w:ind w:left="360"/>
        <w:rPr>
          <w:rFonts w:cs="Times New Roman"/>
          <w:sz w:val="24"/>
          <w:szCs w:val="24"/>
        </w:rPr>
      </w:pPr>
    </w:p>
    <w:p w14:paraId="280569C2" w14:textId="44E26B0D" w:rsidR="00895E45" w:rsidRPr="00895E45" w:rsidRDefault="006C3CEC" w:rsidP="00895E45">
      <w:pPr>
        <w:ind w:left="360"/>
        <w:rPr>
          <w:rFonts w:cs="Times New Roman"/>
          <w:sz w:val="24"/>
          <w:szCs w:val="24"/>
        </w:rPr>
      </w:pPr>
      <w:r w:rsidRPr="00895E45">
        <w:rPr>
          <w:rFonts w:cs="Times New Roman"/>
          <w:sz w:val="24"/>
          <w:szCs w:val="24"/>
        </w:rPr>
        <w:t xml:space="preserve">The bill also prohibits the operation of pickup trucks on state highways if the height of the front fender is raised or lowered four or more inches above or below the height of the rear fender. </w:t>
      </w:r>
      <w:r w:rsidR="00895E45" w:rsidRPr="00895E45">
        <w:rPr>
          <w:rFonts w:cs="Times New Roman"/>
          <w:sz w:val="24"/>
          <w:szCs w:val="24"/>
        </w:rPr>
        <w:t>Violation of the subsection is a misdemeanor with the first offense resulting in a $100 fine.  The fine for a second offense is $200.  A third offense results in a $300 fine and a twelve-month license suspension.</w:t>
      </w:r>
    </w:p>
    <w:p w14:paraId="6B1184F5" w14:textId="77777777" w:rsidR="00895E45" w:rsidRPr="00895E45" w:rsidRDefault="00895E45" w:rsidP="00895E45">
      <w:pPr>
        <w:ind w:left="360"/>
        <w:rPr>
          <w:rFonts w:cs="Times New Roman"/>
          <w:bCs/>
          <w:sz w:val="24"/>
          <w:szCs w:val="24"/>
        </w:rPr>
      </w:pPr>
    </w:p>
    <w:p w14:paraId="4D539BAF" w14:textId="1AF8A2DC" w:rsidR="006C3CEC" w:rsidRDefault="00895E45" w:rsidP="00895E45">
      <w:pPr>
        <w:ind w:left="360"/>
        <w:rPr>
          <w:rFonts w:eastAsia="Calibri" w:cs="Times New Roman"/>
          <w:b/>
          <w:i/>
          <w:sz w:val="24"/>
          <w:szCs w:val="24"/>
        </w:rPr>
      </w:pPr>
      <w:r w:rsidRPr="00895E45">
        <w:rPr>
          <w:rFonts w:cs="Times New Roman"/>
          <w:bCs/>
          <w:sz w:val="24"/>
          <w:szCs w:val="24"/>
        </w:rPr>
        <w:t>Penalties for violating the act do not begin for a period of 360 days</w:t>
      </w:r>
      <w:r w:rsidR="00821D04">
        <w:rPr>
          <w:rFonts w:cs="Times New Roman"/>
          <w:bCs/>
          <w:sz w:val="24"/>
          <w:szCs w:val="24"/>
        </w:rPr>
        <w:t>.  D</w:t>
      </w:r>
      <w:r w:rsidRPr="00895E45">
        <w:rPr>
          <w:rFonts w:cs="Times New Roman"/>
          <w:sz w:val="24"/>
          <w:szCs w:val="24"/>
        </w:rPr>
        <w:t xml:space="preserve">rivers violating the act must be issued only warning tickets for a period of 180 days after the effective date.  </w:t>
      </w:r>
    </w:p>
    <w:p w14:paraId="5A344E2E" w14:textId="77777777" w:rsidR="006C3CEC" w:rsidRDefault="006C3CEC" w:rsidP="006C3CEC">
      <w:pPr>
        <w:spacing w:after="160" w:line="259" w:lineRule="auto"/>
        <w:ind w:left="720"/>
        <w:contextualSpacing/>
        <w:jc w:val="both"/>
        <w:rPr>
          <w:rFonts w:eastAsia="Calibri" w:cs="Times New Roman"/>
          <w:b/>
          <w:i/>
          <w:sz w:val="24"/>
          <w:szCs w:val="24"/>
        </w:rPr>
      </w:pPr>
    </w:p>
    <w:p w14:paraId="61EB0946" w14:textId="248244B7" w:rsidR="005F41A7" w:rsidRDefault="005F41A7" w:rsidP="00895E45">
      <w:pPr>
        <w:spacing w:after="160" w:line="259" w:lineRule="auto"/>
        <w:ind w:firstLine="360"/>
        <w:contextualSpacing/>
        <w:jc w:val="both"/>
        <w:rPr>
          <w:rFonts w:eastAsia="Calibri" w:cs="Times New Roman"/>
          <w:b/>
          <w:i/>
          <w:sz w:val="24"/>
          <w:szCs w:val="24"/>
        </w:rPr>
      </w:pPr>
      <w:r w:rsidRPr="006C3CEC">
        <w:rPr>
          <w:rFonts w:eastAsia="Calibri" w:cs="Times New Roman"/>
          <w:b/>
          <w:i/>
          <w:sz w:val="24"/>
          <w:szCs w:val="24"/>
        </w:rPr>
        <w:t>(Act</w:t>
      </w:r>
      <w:r w:rsidR="00756885">
        <w:rPr>
          <w:rFonts w:eastAsia="Calibri" w:cs="Times New Roman"/>
          <w:b/>
          <w:i/>
          <w:sz w:val="24"/>
          <w:szCs w:val="24"/>
        </w:rPr>
        <w:t xml:space="preserve"> 24</w:t>
      </w:r>
      <w:r w:rsidRPr="006C3CEC">
        <w:rPr>
          <w:rFonts w:eastAsia="Calibri" w:cs="Times New Roman"/>
          <w:b/>
          <w:i/>
          <w:sz w:val="24"/>
          <w:szCs w:val="24"/>
        </w:rPr>
        <w:t xml:space="preserve"> was signed by the Governor on </w:t>
      </w:r>
      <w:r w:rsidR="00895E45">
        <w:rPr>
          <w:rFonts w:eastAsia="Calibri" w:cs="Times New Roman"/>
          <w:b/>
          <w:i/>
          <w:sz w:val="24"/>
          <w:szCs w:val="24"/>
        </w:rPr>
        <w:t>May 16, 2023</w:t>
      </w:r>
      <w:r w:rsidRPr="006C3CEC">
        <w:rPr>
          <w:rFonts w:eastAsia="Calibri" w:cs="Times New Roman"/>
          <w:b/>
          <w:i/>
          <w:sz w:val="24"/>
          <w:szCs w:val="24"/>
        </w:rPr>
        <w:t>.)</w:t>
      </w:r>
    </w:p>
    <w:p w14:paraId="52A09069" w14:textId="77777777" w:rsidR="00607382" w:rsidRDefault="00607382" w:rsidP="00895E45">
      <w:pPr>
        <w:spacing w:after="160" w:line="259" w:lineRule="auto"/>
        <w:ind w:firstLine="360"/>
        <w:contextualSpacing/>
        <w:jc w:val="both"/>
        <w:rPr>
          <w:rFonts w:eastAsia="Calibri" w:cs="Times New Roman"/>
          <w:b/>
          <w:i/>
          <w:sz w:val="24"/>
          <w:szCs w:val="24"/>
        </w:rPr>
      </w:pPr>
    </w:p>
    <w:p w14:paraId="101343B1" w14:textId="77777777" w:rsidR="00607382" w:rsidRPr="006C3CEC" w:rsidRDefault="00607382" w:rsidP="00895E45">
      <w:pPr>
        <w:spacing w:after="160" w:line="259" w:lineRule="auto"/>
        <w:ind w:firstLine="360"/>
        <w:contextualSpacing/>
        <w:jc w:val="both"/>
        <w:rPr>
          <w:rFonts w:eastAsia="Calibri" w:cs="Times New Roman"/>
          <w:b/>
          <w:i/>
          <w:sz w:val="24"/>
          <w:szCs w:val="24"/>
        </w:rPr>
      </w:pPr>
    </w:p>
    <w:p w14:paraId="10CFAB55" w14:textId="77777777" w:rsidR="005F41A7" w:rsidRPr="005F41A7" w:rsidRDefault="005F41A7" w:rsidP="00A359B8">
      <w:pPr>
        <w:ind w:left="720"/>
        <w:contextualSpacing/>
        <w:jc w:val="both"/>
        <w:rPr>
          <w:rFonts w:eastAsia="Calibri" w:cs="Times New Roman"/>
          <w:sz w:val="24"/>
          <w:szCs w:val="24"/>
          <w:u w:val="single"/>
        </w:rPr>
      </w:pPr>
    </w:p>
    <w:p w14:paraId="09979706" w14:textId="0D5BA666" w:rsidR="00895E45" w:rsidRDefault="005F41A7" w:rsidP="00895E45">
      <w:pPr>
        <w:numPr>
          <w:ilvl w:val="0"/>
          <w:numId w:val="4"/>
        </w:numPr>
        <w:spacing w:after="160" w:line="259" w:lineRule="auto"/>
        <w:contextualSpacing/>
        <w:jc w:val="both"/>
        <w:rPr>
          <w:rFonts w:eastAsia="Calibri" w:cs="Times New Roman"/>
          <w:sz w:val="24"/>
          <w:szCs w:val="24"/>
          <w:u w:val="single"/>
        </w:rPr>
      </w:pPr>
      <w:r w:rsidRPr="005F41A7">
        <w:rPr>
          <w:rFonts w:eastAsia="Calibri" w:cs="Times New Roman"/>
          <w:b/>
          <w:sz w:val="24"/>
          <w:szCs w:val="24"/>
        </w:rPr>
        <w:lastRenderedPageBreak/>
        <w:t>Act</w:t>
      </w:r>
      <w:r w:rsidR="00895E45">
        <w:rPr>
          <w:rFonts w:eastAsia="Calibri" w:cs="Times New Roman"/>
          <w:b/>
          <w:sz w:val="24"/>
          <w:szCs w:val="24"/>
        </w:rPr>
        <w:t xml:space="preserve"> </w:t>
      </w:r>
      <w:r w:rsidR="00756885">
        <w:rPr>
          <w:rFonts w:eastAsia="Calibri" w:cs="Times New Roman"/>
          <w:b/>
          <w:sz w:val="24"/>
          <w:szCs w:val="24"/>
        </w:rPr>
        <w:t xml:space="preserve">51 </w:t>
      </w:r>
      <w:r w:rsidRPr="005F41A7">
        <w:rPr>
          <w:rFonts w:eastAsia="Calibri" w:cs="Times New Roman"/>
          <w:b/>
          <w:sz w:val="24"/>
          <w:szCs w:val="24"/>
        </w:rPr>
        <w:t>(</w:t>
      </w:r>
      <w:r w:rsidR="00895E45">
        <w:rPr>
          <w:rFonts w:eastAsia="Calibri" w:cs="Times New Roman"/>
          <w:b/>
          <w:sz w:val="24"/>
          <w:szCs w:val="24"/>
        </w:rPr>
        <w:t>Senate bill 549</w:t>
      </w:r>
      <w:r w:rsidRPr="005F41A7">
        <w:rPr>
          <w:rFonts w:eastAsia="Calibri" w:cs="Times New Roman"/>
          <w:b/>
          <w:sz w:val="24"/>
          <w:szCs w:val="24"/>
        </w:rPr>
        <w:t>)</w:t>
      </w:r>
      <w:r w:rsidRPr="005F41A7">
        <w:rPr>
          <w:rFonts w:eastAsia="Calibri" w:cs="Times New Roman"/>
          <w:sz w:val="10"/>
          <w:szCs w:val="24"/>
        </w:rPr>
        <w:t xml:space="preserve"> </w:t>
      </w:r>
      <w:r w:rsidR="00895E45">
        <w:rPr>
          <w:rFonts w:eastAsia="Calibri" w:cs="Times New Roman"/>
          <w:sz w:val="24"/>
          <w:szCs w:val="24"/>
        </w:rPr>
        <w:t>makes several changes to statutes involving the Department of Motor Vehicles (DMV).  Among th</w:t>
      </w:r>
      <w:r w:rsidR="00821D04">
        <w:rPr>
          <w:rFonts w:eastAsia="Calibri" w:cs="Times New Roman"/>
          <w:sz w:val="24"/>
          <w:szCs w:val="24"/>
        </w:rPr>
        <w:t>ose</w:t>
      </w:r>
      <w:r w:rsidR="00895E45">
        <w:rPr>
          <w:rFonts w:eastAsia="Calibri" w:cs="Times New Roman"/>
          <w:sz w:val="24"/>
          <w:szCs w:val="24"/>
        </w:rPr>
        <w:t xml:space="preserve"> changes are the following:</w:t>
      </w:r>
    </w:p>
    <w:p w14:paraId="219C9F29" w14:textId="77777777" w:rsidR="00821D04" w:rsidRPr="00821D04" w:rsidRDefault="00895E45" w:rsidP="00027B85">
      <w:pPr>
        <w:pStyle w:val="ListParagraph"/>
        <w:numPr>
          <w:ilvl w:val="0"/>
          <w:numId w:val="34"/>
        </w:numPr>
        <w:spacing w:after="160" w:line="259" w:lineRule="auto"/>
        <w:jc w:val="both"/>
        <w:rPr>
          <w:rFonts w:eastAsia="Calibri" w:cs="Times New Roman"/>
          <w:sz w:val="24"/>
          <w:szCs w:val="24"/>
          <w:u w:val="single"/>
        </w:rPr>
      </w:pPr>
      <w:r w:rsidRPr="00895E45">
        <w:rPr>
          <w:rFonts w:cs="Times New Roman"/>
          <w:b/>
          <w:bCs/>
          <w:sz w:val="24"/>
          <w:szCs w:val="24"/>
        </w:rPr>
        <w:t>Driver Financial Responsibility</w:t>
      </w:r>
      <w:r w:rsidRPr="00895E45">
        <w:rPr>
          <w:rFonts w:cs="Times New Roman"/>
          <w:sz w:val="24"/>
          <w:szCs w:val="24"/>
        </w:rPr>
        <w:t xml:space="preserve">:  The bill incorporates language adopted by the House in H. 3518 </w:t>
      </w:r>
      <w:r>
        <w:rPr>
          <w:rFonts w:cs="Times New Roman"/>
          <w:sz w:val="24"/>
          <w:szCs w:val="24"/>
        </w:rPr>
        <w:t>and</w:t>
      </w:r>
      <w:r w:rsidRPr="00895E45">
        <w:rPr>
          <w:rFonts w:cs="Times New Roman"/>
          <w:sz w:val="24"/>
          <w:szCs w:val="24"/>
        </w:rPr>
        <w:t xml:space="preserve"> updates the driver’s license reinstatement fee program to allow for the payment of fees over twelve months instead of six.  The amount of fees needed for program eligibility is reduced from $300 to $200.  DMV may keep $5 of the $40 administrative fee and $35 is sent to the State Highway Fund.  If a driver receives a suspension while in the program, the new fee must be satisfied before participation may continue.  Drivers must surrender license plates within five days after the cancellation or expiration of a vehicle’s liability insurance policy.  </w:t>
      </w:r>
    </w:p>
    <w:p w14:paraId="63D537E1" w14:textId="77777777" w:rsidR="00821D04" w:rsidRDefault="00821D04" w:rsidP="00821D04">
      <w:pPr>
        <w:pStyle w:val="ListParagraph"/>
        <w:spacing w:after="160" w:line="259" w:lineRule="auto"/>
        <w:jc w:val="both"/>
        <w:rPr>
          <w:rFonts w:cs="Times New Roman"/>
          <w:b/>
          <w:bCs/>
          <w:sz w:val="24"/>
          <w:szCs w:val="24"/>
        </w:rPr>
      </w:pPr>
    </w:p>
    <w:p w14:paraId="1FC2F1B0" w14:textId="10929E72" w:rsidR="00027B85" w:rsidRPr="00027B85" w:rsidRDefault="00895E45" w:rsidP="00821D04">
      <w:pPr>
        <w:pStyle w:val="ListParagraph"/>
        <w:spacing w:after="160" w:line="259" w:lineRule="auto"/>
        <w:jc w:val="both"/>
        <w:rPr>
          <w:rFonts w:eastAsia="Calibri" w:cs="Times New Roman"/>
          <w:sz w:val="24"/>
          <w:szCs w:val="24"/>
          <w:u w:val="single"/>
        </w:rPr>
      </w:pPr>
      <w:r w:rsidRPr="00895E45">
        <w:rPr>
          <w:rFonts w:cs="Times New Roman"/>
          <w:sz w:val="24"/>
          <w:szCs w:val="24"/>
        </w:rPr>
        <w:t xml:space="preserve">The bill ends the practice of allowing the operation of uninsured motor vehicles upon payment of a fee.  All drivers will have to carry insurance. </w:t>
      </w:r>
      <w:r w:rsidR="00027B85" w:rsidRPr="00027B85">
        <w:rPr>
          <w:rFonts w:cs="Times New Roman"/>
          <w:sz w:val="24"/>
          <w:szCs w:val="24"/>
        </w:rPr>
        <w:t xml:space="preserve">A person who operates an uninsured vehicle is guilty of a misdemeanor and must be fined not less than $100 and not more than $200 or imprisoned for 30 days.  </w:t>
      </w:r>
    </w:p>
    <w:p w14:paraId="09057CA5" w14:textId="77777777" w:rsidR="00027B85" w:rsidRPr="00027B85" w:rsidRDefault="00027B85" w:rsidP="00027B85">
      <w:pPr>
        <w:pStyle w:val="ListParagraph"/>
        <w:spacing w:after="160" w:line="259" w:lineRule="auto"/>
        <w:jc w:val="both"/>
        <w:rPr>
          <w:rFonts w:eastAsia="Calibri" w:cs="Times New Roman"/>
          <w:sz w:val="24"/>
          <w:szCs w:val="24"/>
          <w:u w:val="single"/>
        </w:rPr>
      </w:pPr>
    </w:p>
    <w:p w14:paraId="28CEF0F2" w14:textId="5E0A8B09" w:rsidR="00895E45" w:rsidRDefault="00895E45" w:rsidP="00895E45">
      <w:pPr>
        <w:pStyle w:val="ListParagraph"/>
        <w:numPr>
          <w:ilvl w:val="0"/>
          <w:numId w:val="35"/>
        </w:numPr>
        <w:rPr>
          <w:rFonts w:cs="Times New Roman"/>
          <w:sz w:val="24"/>
          <w:szCs w:val="24"/>
        </w:rPr>
      </w:pPr>
      <w:r w:rsidRPr="00895E45">
        <w:rPr>
          <w:rFonts w:cs="Times New Roman"/>
          <w:b/>
          <w:bCs/>
          <w:sz w:val="24"/>
          <w:szCs w:val="24"/>
        </w:rPr>
        <w:t xml:space="preserve">DMV Financing Agreements:  </w:t>
      </w:r>
      <w:r w:rsidRPr="00895E45">
        <w:rPr>
          <w:rFonts w:cs="Times New Roman"/>
          <w:sz w:val="24"/>
          <w:szCs w:val="24"/>
        </w:rPr>
        <w:t>Vendor, transaction, and similar fees paid to agencies for goods and services through payment methods other than cash w</w:t>
      </w:r>
      <w:r w:rsidR="00027B85">
        <w:rPr>
          <w:rFonts w:cs="Times New Roman"/>
          <w:sz w:val="24"/>
          <w:szCs w:val="24"/>
        </w:rPr>
        <w:t xml:space="preserve">ill </w:t>
      </w:r>
      <w:r w:rsidRPr="00895E45">
        <w:rPr>
          <w:rFonts w:cs="Times New Roman"/>
          <w:sz w:val="24"/>
          <w:szCs w:val="24"/>
        </w:rPr>
        <w:t>not have to be set in statute or regulation</w:t>
      </w:r>
      <w:r w:rsidRPr="00895E45">
        <w:rPr>
          <w:rFonts w:cs="Times New Roman"/>
          <w:b/>
          <w:bCs/>
          <w:sz w:val="24"/>
          <w:szCs w:val="24"/>
        </w:rPr>
        <w:t xml:space="preserve">.  </w:t>
      </w:r>
      <w:r w:rsidRPr="00895E45">
        <w:rPr>
          <w:rFonts w:cs="Times New Roman"/>
          <w:sz w:val="24"/>
          <w:szCs w:val="24"/>
        </w:rPr>
        <w:t xml:space="preserve"> </w:t>
      </w:r>
      <w:r w:rsidR="00821D04">
        <w:rPr>
          <w:rFonts w:cs="Times New Roman"/>
          <w:sz w:val="24"/>
          <w:szCs w:val="24"/>
        </w:rPr>
        <w:t>C</w:t>
      </w:r>
      <w:r w:rsidRPr="00895E45">
        <w:rPr>
          <w:rFonts w:cs="Times New Roman"/>
          <w:sz w:val="24"/>
          <w:szCs w:val="24"/>
        </w:rPr>
        <w:t>onsumer</w:t>
      </w:r>
      <w:r w:rsidR="00821D04">
        <w:rPr>
          <w:rFonts w:cs="Times New Roman"/>
          <w:sz w:val="24"/>
          <w:szCs w:val="24"/>
        </w:rPr>
        <w:t>s will</w:t>
      </w:r>
      <w:r w:rsidRPr="00895E45">
        <w:rPr>
          <w:rFonts w:cs="Times New Roman"/>
          <w:sz w:val="24"/>
          <w:szCs w:val="24"/>
        </w:rPr>
        <w:t xml:space="preserve"> pay the statutory cost for the product in addition to fees. Vendors profit solely through convenience fees, and customers can avoid the fee by paying cash.</w:t>
      </w:r>
    </w:p>
    <w:p w14:paraId="51E14A28" w14:textId="77777777" w:rsidR="00027B85" w:rsidRPr="00DD048F" w:rsidRDefault="00027B85" w:rsidP="00DD048F">
      <w:pPr>
        <w:rPr>
          <w:rFonts w:cs="Times New Roman"/>
          <w:sz w:val="24"/>
          <w:szCs w:val="24"/>
        </w:rPr>
      </w:pPr>
    </w:p>
    <w:p w14:paraId="25FE4690" w14:textId="7B432579" w:rsidR="00895E45" w:rsidRDefault="00895E45" w:rsidP="00895E45">
      <w:pPr>
        <w:pStyle w:val="ListParagraph"/>
        <w:numPr>
          <w:ilvl w:val="0"/>
          <w:numId w:val="35"/>
        </w:numPr>
        <w:rPr>
          <w:rFonts w:cs="Times New Roman"/>
          <w:sz w:val="24"/>
          <w:szCs w:val="24"/>
        </w:rPr>
      </w:pPr>
      <w:r w:rsidRPr="00895E45">
        <w:rPr>
          <w:rFonts w:cs="Times New Roman"/>
          <w:b/>
          <w:bCs/>
          <w:sz w:val="24"/>
          <w:szCs w:val="24"/>
        </w:rPr>
        <w:t xml:space="preserve">Traceable Temporary License Plates:  </w:t>
      </w:r>
      <w:r w:rsidRPr="00895E45">
        <w:rPr>
          <w:rFonts w:cs="Times New Roman"/>
          <w:sz w:val="24"/>
          <w:szCs w:val="24"/>
        </w:rPr>
        <w:t>All temporary license plates w</w:t>
      </w:r>
      <w:r w:rsidR="00027B85">
        <w:rPr>
          <w:rFonts w:cs="Times New Roman"/>
          <w:sz w:val="24"/>
          <w:szCs w:val="24"/>
        </w:rPr>
        <w:t xml:space="preserve">ill </w:t>
      </w:r>
      <w:r w:rsidRPr="00895E45">
        <w:rPr>
          <w:rFonts w:cs="Times New Roman"/>
          <w:sz w:val="24"/>
          <w:szCs w:val="24"/>
        </w:rPr>
        <w:t xml:space="preserve">be issued at the point of sale by dealers versus the optional program.  Temporary plates </w:t>
      </w:r>
      <w:r w:rsidR="00027B85">
        <w:rPr>
          <w:rFonts w:cs="Times New Roman"/>
          <w:sz w:val="24"/>
          <w:szCs w:val="24"/>
        </w:rPr>
        <w:t>are</w:t>
      </w:r>
      <w:r w:rsidR="0062788D">
        <w:rPr>
          <w:rFonts w:cs="Times New Roman"/>
          <w:sz w:val="24"/>
          <w:szCs w:val="24"/>
        </w:rPr>
        <w:t xml:space="preserve"> </w:t>
      </w:r>
      <w:r w:rsidRPr="00895E45">
        <w:rPr>
          <w:rFonts w:cs="Times New Roman"/>
          <w:sz w:val="24"/>
          <w:szCs w:val="24"/>
        </w:rPr>
        <w:t>valid for 45</w:t>
      </w:r>
      <w:r w:rsidR="00027B85">
        <w:rPr>
          <w:rFonts w:cs="Times New Roman"/>
          <w:sz w:val="24"/>
          <w:szCs w:val="24"/>
        </w:rPr>
        <w:t xml:space="preserve"> </w:t>
      </w:r>
      <w:r w:rsidRPr="00895E45">
        <w:rPr>
          <w:rFonts w:cs="Times New Roman"/>
          <w:sz w:val="24"/>
          <w:szCs w:val="24"/>
        </w:rPr>
        <w:t xml:space="preserve">days regardless of the vehicle buyer and are immediately linked to the vehicle </w:t>
      </w:r>
      <w:proofErr w:type="gramStart"/>
      <w:r w:rsidRPr="00895E45">
        <w:rPr>
          <w:rFonts w:cs="Times New Roman"/>
          <w:sz w:val="24"/>
          <w:szCs w:val="24"/>
        </w:rPr>
        <w:t>in order to</w:t>
      </w:r>
      <w:proofErr w:type="gramEnd"/>
      <w:r w:rsidRPr="00895E45">
        <w:rPr>
          <w:rFonts w:cs="Times New Roman"/>
          <w:sz w:val="24"/>
          <w:szCs w:val="24"/>
        </w:rPr>
        <w:t xml:space="preserve"> aid law enforcement.  DMV must solicit for a temporary plate distributor (paper supplier) and the bill defines who may be a temporary plate distributor.  All dealers must participate in the program.</w:t>
      </w:r>
    </w:p>
    <w:p w14:paraId="095B96FC" w14:textId="2F2259D9" w:rsidR="00027B85" w:rsidRDefault="00027B85" w:rsidP="00027B85">
      <w:pPr>
        <w:pStyle w:val="ListParagraph"/>
        <w:rPr>
          <w:rFonts w:cs="Times New Roman"/>
          <w:sz w:val="24"/>
          <w:szCs w:val="24"/>
        </w:rPr>
      </w:pPr>
    </w:p>
    <w:p w14:paraId="26E5C334" w14:textId="5E1954B2" w:rsidR="00895E45" w:rsidRDefault="00895E45" w:rsidP="00027B85">
      <w:pPr>
        <w:pStyle w:val="ListParagraph"/>
        <w:numPr>
          <w:ilvl w:val="0"/>
          <w:numId w:val="35"/>
        </w:numPr>
        <w:rPr>
          <w:rFonts w:cs="Times New Roman"/>
          <w:sz w:val="24"/>
          <w:szCs w:val="24"/>
        </w:rPr>
      </w:pPr>
      <w:r w:rsidRPr="00027B85">
        <w:rPr>
          <w:rFonts w:cs="Times New Roman"/>
          <w:b/>
          <w:bCs/>
          <w:sz w:val="24"/>
          <w:szCs w:val="24"/>
        </w:rPr>
        <w:t xml:space="preserve">Quality Assurance for Dealer Work:  </w:t>
      </w:r>
      <w:r w:rsidRPr="00027B85">
        <w:rPr>
          <w:rFonts w:cs="Times New Roman"/>
          <w:sz w:val="24"/>
          <w:szCs w:val="24"/>
        </w:rPr>
        <w:t>A</w:t>
      </w:r>
      <w:r w:rsidRPr="00027B85">
        <w:rPr>
          <w:rFonts w:cs="Times New Roman"/>
          <w:b/>
          <w:bCs/>
          <w:sz w:val="24"/>
          <w:szCs w:val="24"/>
        </w:rPr>
        <w:t xml:space="preserve"> </w:t>
      </w:r>
      <w:r w:rsidRPr="00027B85">
        <w:rPr>
          <w:rFonts w:cs="Times New Roman"/>
          <w:sz w:val="24"/>
          <w:szCs w:val="24"/>
        </w:rPr>
        <w:t>privatized quality assurance entity to assess dealer work is created to ensure that information is correctly transmitted to DMV following the purchase of a vehicle from a dealer.  The agency must solicit for the entity.  Vehicle buyers must pay $10 for quality assurance--$5 is sent to the Quality Assurance entity, $2.50 goes to DMV</w:t>
      </w:r>
      <w:r w:rsidR="00821D04">
        <w:rPr>
          <w:rFonts w:cs="Times New Roman"/>
          <w:sz w:val="24"/>
          <w:szCs w:val="24"/>
        </w:rPr>
        <w:t xml:space="preserve"> </w:t>
      </w:r>
      <w:r w:rsidRPr="00027B85">
        <w:rPr>
          <w:rFonts w:cs="Times New Roman"/>
          <w:sz w:val="24"/>
          <w:szCs w:val="24"/>
        </w:rPr>
        <w:t>for technology modernization, and $2.50 is sent to the SCDOT.</w:t>
      </w:r>
    </w:p>
    <w:p w14:paraId="21A8FCDD" w14:textId="77777777" w:rsidR="00533B19" w:rsidRPr="00533B19" w:rsidRDefault="00533B19" w:rsidP="00533B19">
      <w:pPr>
        <w:pStyle w:val="ListParagraph"/>
        <w:rPr>
          <w:rFonts w:cs="Times New Roman"/>
          <w:sz w:val="24"/>
          <w:szCs w:val="24"/>
        </w:rPr>
      </w:pPr>
    </w:p>
    <w:p w14:paraId="577E60E7" w14:textId="62080996" w:rsidR="00895E45" w:rsidRDefault="00895E45" w:rsidP="00027B85">
      <w:pPr>
        <w:pStyle w:val="ListParagraph"/>
        <w:numPr>
          <w:ilvl w:val="0"/>
          <w:numId w:val="35"/>
        </w:numPr>
        <w:rPr>
          <w:rFonts w:cs="Times New Roman"/>
          <w:sz w:val="24"/>
          <w:szCs w:val="24"/>
        </w:rPr>
      </w:pPr>
      <w:r w:rsidRPr="00027B85">
        <w:rPr>
          <w:rFonts w:cs="Times New Roman"/>
          <w:b/>
          <w:bCs/>
          <w:sz w:val="24"/>
          <w:szCs w:val="24"/>
        </w:rPr>
        <w:t xml:space="preserve">Dealer Licensing Laws:  </w:t>
      </w:r>
      <w:r w:rsidRPr="00027B85">
        <w:rPr>
          <w:rFonts w:cs="Times New Roman"/>
          <w:sz w:val="24"/>
          <w:szCs w:val="24"/>
        </w:rPr>
        <w:t xml:space="preserve">The dealer licensing validity period changes from one to three years </w:t>
      </w:r>
      <w:proofErr w:type="gramStart"/>
      <w:r w:rsidRPr="00027B85">
        <w:rPr>
          <w:rFonts w:cs="Times New Roman"/>
          <w:sz w:val="24"/>
          <w:szCs w:val="24"/>
        </w:rPr>
        <w:t>in order to</w:t>
      </w:r>
      <w:proofErr w:type="gramEnd"/>
      <w:r w:rsidRPr="00027B85">
        <w:rPr>
          <w:rFonts w:cs="Times New Roman"/>
          <w:sz w:val="24"/>
          <w:szCs w:val="24"/>
        </w:rPr>
        <w:t xml:space="preserve"> reduce the administrative burden on DMV.  The bond is raised from $30,000 to $50,000 for RV and retail dealers, with motorcycle dealer bonds increasing from $15,000 to $25,000.  Disqualifying crimes for people attempting to become licensed dealers are added along with increases in the penalty for selling a vehicle without a dealer license.  (Casual sellers are not impacted.)</w:t>
      </w:r>
    </w:p>
    <w:p w14:paraId="6964B01B" w14:textId="77777777" w:rsidR="00027B85" w:rsidRPr="00027B85" w:rsidRDefault="00027B85" w:rsidP="00027B85">
      <w:pPr>
        <w:rPr>
          <w:rFonts w:cs="Times New Roman"/>
          <w:sz w:val="24"/>
          <w:szCs w:val="24"/>
        </w:rPr>
      </w:pPr>
    </w:p>
    <w:p w14:paraId="265874E8" w14:textId="49E7B6CD" w:rsidR="00895E45" w:rsidRPr="00027B85" w:rsidRDefault="00895E45" w:rsidP="00504C9D">
      <w:pPr>
        <w:pStyle w:val="ListParagraph"/>
        <w:rPr>
          <w:rFonts w:cs="Times New Roman"/>
          <w:sz w:val="24"/>
          <w:szCs w:val="24"/>
        </w:rPr>
      </w:pPr>
      <w:r w:rsidRPr="00027B85">
        <w:rPr>
          <w:rFonts w:cs="Times New Roman"/>
          <w:sz w:val="24"/>
          <w:szCs w:val="24"/>
        </w:rPr>
        <w:t xml:space="preserve">The bill </w:t>
      </w:r>
      <w:proofErr w:type="gramStart"/>
      <w:r w:rsidRPr="00027B85">
        <w:rPr>
          <w:rFonts w:cs="Times New Roman"/>
          <w:sz w:val="24"/>
          <w:szCs w:val="24"/>
        </w:rPr>
        <w:t>grandfathers</w:t>
      </w:r>
      <w:proofErr w:type="gramEnd"/>
      <w:r w:rsidRPr="00027B85">
        <w:rPr>
          <w:rFonts w:cs="Times New Roman"/>
          <w:sz w:val="24"/>
          <w:szCs w:val="24"/>
        </w:rPr>
        <w:t xml:space="preserve"> dealers who have one license but contiguous lots and codifies licensing adjacent lots in the future.  Also codified are existing agency procedures that assess points against a dealer’s license when dealers make errors.  A Dealer Sanction Review Board is established to hear appeals on whether the public is made aware of points issued against a dealer.</w:t>
      </w:r>
    </w:p>
    <w:p w14:paraId="6646EA86" w14:textId="77777777" w:rsidR="00533B19" w:rsidRDefault="00533B19" w:rsidP="00533B19">
      <w:pPr>
        <w:pStyle w:val="ListParagraph"/>
        <w:spacing w:line="259" w:lineRule="auto"/>
        <w:jc w:val="both"/>
        <w:rPr>
          <w:sz w:val="24"/>
          <w:szCs w:val="24"/>
        </w:rPr>
      </w:pPr>
    </w:p>
    <w:p w14:paraId="213D1F89" w14:textId="77777777" w:rsidR="00607382" w:rsidRDefault="00607382" w:rsidP="00533B19">
      <w:pPr>
        <w:pStyle w:val="ListParagraph"/>
        <w:spacing w:line="259" w:lineRule="auto"/>
        <w:jc w:val="both"/>
        <w:rPr>
          <w:sz w:val="24"/>
          <w:szCs w:val="24"/>
        </w:rPr>
      </w:pPr>
    </w:p>
    <w:p w14:paraId="3EE20786" w14:textId="77777777" w:rsidR="00607382" w:rsidRDefault="00607382" w:rsidP="00533B19">
      <w:pPr>
        <w:pStyle w:val="ListParagraph"/>
        <w:spacing w:line="259" w:lineRule="auto"/>
        <w:jc w:val="both"/>
        <w:rPr>
          <w:sz w:val="24"/>
          <w:szCs w:val="24"/>
        </w:rPr>
      </w:pPr>
    </w:p>
    <w:p w14:paraId="51CB6C74" w14:textId="77777777" w:rsidR="00607382" w:rsidRDefault="00607382" w:rsidP="00533B19">
      <w:pPr>
        <w:pStyle w:val="ListParagraph"/>
        <w:spacing w:line="259" w:lineRule="auto"/>
        <w:jc w:val="both"/>
        <w:rPr>
          <w:sz w:val="24"/>
          <w:szCs w:val="24"/>
        </w:rPr>
      </w:pPr>
    </w:p>
    <w:p w14:paraId="6CCE3EF7" w14:textId="77777777" w:rsidR="00607382" w:rsidRPr="00533B19" w:rsidRDefault="00607382" w:rsidP="00533B19">
      <w:pPr>
        <w:pStyle w:val="ListParagraph"/>
        <w:spacing w:line="259" w:lineRule="auto"/>
        <w:jc w:val="both"/>
        <w:rPr>
          <w:sz w:val="24"/>
          <w:szCs w:val="24"/>
        </w:rPr>
      </w:pPr>
    </w:p>
    <w:p w14:paraId="66B03DE1" w14:textId="2A06E9DF" w:rsidR="00895E45" w:rsidRPr="00027B85" w:rsidRDefault="00504C9D" w:rsidP="00027B85">
      <w:pPr>
        <w:pStyle w:val="ListParagraph"/>
        <w:numPr>
          <w:ilvl w:val="0"/>
          <w:numId w:val="32"/>
        </w:numPr>
        <w:spacing w:line="259" w:lineRule="auto"/>
        <w:jc w:val="both"/>
        <w:rPr>
          <w:sz w:val="24"/>
          <w:szCs w:val="24"/>
        </w:rPr>
      </w:pPr>
      <w:r w:rsidRPr="00504C9D">
        <w:rPr>
          <w:rFonts w:eastAsia="Calibri" w:cs="Times New Roman"/>
          <w:b/>
          <w:bCs/>
          <w:sz w:val="24"/>
          <w:szCs w:val="24"/>
        </w:rPr>
        <w:lastRenderedPageBreak/>
        <w:t>Driver Training:</w:t>
      </w:r>
      <w:r>
        <w:rPr>
          <w:rFonts w:eastAsia="Calibri" w:cs="Times New Roman"/>
          <w:sz w:val="24"/>
          <w:szCs w:val="24"/>
        </w:rPr>
        <w:t xml:space="preserve">  </w:t>
      </w:r>
      <w:r w:rsidR="00027B85" w:rsidRPr="00027B85">
        <w:rPr>
          <w:rFonts w:eastAsia="Calibri" w:cs="Times New Roman"/>
          <w:sz w:val="24"/>
          <w:szCs w:val="24"/>
        </w:rPr>
        <w:t xml:space="preserve">Changes are made to driver training. </w:t>
      </w:r>
      <w:r w:rsidR="00895E45" w:rsidRPr="00027B85">
        <w:rPr>
          <w:sz w:val="24"/>
          <w:szCs w:val="24"/>
        </w:rPr>
        <w:t xml:space="preserve">The term “defensive driving course” is </w:t>
      </w:r>
      <w:r w:rsidR="00027B85">
        <w:rPr>
          <w:sz w:val="24"/>
          <w:szCs w:val="24"/>
        </w:rPr>
        <w:t>now</w:t>
      </w:r>
      <w:r w:rsidR="00895E45" w:rsidRPr="00027B85">
        <w:rPr>
          <w:sz w:val="24"/>
          <w:szCs w:val="24"/>
        </w:rPr>
        <w:t xml:space="preserve"> “driver training course.”</w:t>
      </w:r>
      <w:r w:rsidR="00027B85" w:rsidRPr="00027B85">
        <w:rPr>
          <w:sz w:val="24"/>
          <w:szCs w:val="24"/>
        </w:rPr>
        <w:t xml:space="preserve"> </w:t>
      </w:r>
      <w:r w:rsidR="00895E45" w:rsidRPr="00027B85">
        <w:rPr>
          <w:sz w:val="24"/>
          <w:szCs w:val="24"/>
        </w:rPr>
        <w:t xml:space="preserve">The classroom portion of </w:t>
      </w:r>
      <w:r w:rsidR="00027B85">
        <w:rPr>
          <w:sz w:val="24"/>
          <w:szCs w:val="24"/>
        </w:rPr>
        <w:t>the</w:t>
      </w:r>
      <w:r>
        <w:rPr>
          <w:sz w:val="24"/>
          <w:szCs w:val="24"/>
        </w:rPr>
        <w:t xml:space="preserve"> </w:t>
      </w:r>
      <w:r w:rsidR="00895E45" w:rsidRPr="00027B85">
        <w:rPr>
          <w:sz w:val="24"/>
          <w:szCs w:val="24"/>
        </w:rPr>
        <w:t>training may be done in-person, virtually, or by remote online methods. Online training must contain the following:</w:t>
      </w:r>
    </w:p>
    <w:p w14:paraId="1242CBE4" w14:textId="77777777" w:rsidR="00895E45" w:rsidRPr="00027B85" w:rsidRDefault="00895E45" w:rsidP="00027B85">
      <w:pPr>
        <w:pStyle w:val="yiv2924964467msonormal"/>
        <w:numPr>
          <w:ilvl w:val="1"/>
          <w:numId w:val="36"/>
        </w:numPr>
        <w:spacing w:before="0" w:beforeAutospacing="0" w:after="0" w:afterAutospacing="0"/>
      </w:pPr>
      <w:r w:rsidRPr="00027B85">
        <w:t xml:space="preserve">A student username and </w:t>
      </w:r>
      <w:proofErr w:type="gramStart"/>
      <w:r w:rsidRPr="00027B85">
        <w:t>password;</w:t>
      </w:r>
      <w:proofErr w:type="gramEnd"/>
    </w:p>
    <w:p w14:paraId="27949391" w14:textId="77777777" w:rsidR="00895E45" w:rsidRPr="00027B85" w:rsidRDefault="00895E45" w:rsidP="00027B85">
      <w:pPr>
        <w:pStyle w:val="yiv2924964467msonormal"/>
        <w:numPr>
          <w:ilvl w:val="1"/>
          <w:numId w:val="36"/>
        </w:numPr>
        <w:spacing w:before="0" w:beforeAutospacing="0" w:after="0" w:afterAutospacing="0"/>
      </w:pPr>
      <w:r w:rsidRPr="00027B85">
        <w:t xml:space="preserve">The ability to measure the amount of time a student spends in the </w:t>
      </w:r>
      <w:proofErr w:type="gramStart"/>
      <w:r w:rsidRPr="00027B85">
        <w:t>course;</w:t>
      </w:r>
      <w:proofErr w:type="gramEnd"/>
    </w:p>
    <w:p w14:paraId="09EDDBD3" w14:textId="77777777" w:rsidR="00895E45" w:rsidRPr="00027B85" w:rsidRDefault="00895E45" w:rsidP="00027B85">
      <w:pPr>
        <w:pStyle w:val="yiv2924964467msonormal"/>
        <w:numPr>
          <w:ilvl w:val="1"/>
          <w:numId w:val="36"/>
        </w:numPr>
        <w:spacing w:before="0" w:beforeAutospacing="0" w:after="0" w:afterAutospacing="0"/>
      </w:pPr>
      <w:r w:rsidRPr="00027B85">
        <w:t xml:space="preserve">Twenty-four-hour, seven day per week, technical support to </w:t>
      </w:r>
      <w:proofErr w:type="gramStart"/>
      <w:r w:rsidRPr="00027B85">
        <w:t>students;</w:t>
      </w:r>
      <w:proofErr w:type="gramEnd"/>
      <w:r w:rsidRPr="00027B85">
        <w:t xml:space="preserve"> </w:t>
      </w:r>
    </w:p>
    <w:p w14:paraId="0516DF55" w14:textId="77777777" w:rsidR="00895E45" w:rsidRPr="00027B85" w:rsidRDefault="00895E45" w:rsidP="00027B85">
      <w:pPr>
        <w:pStyle w:val="yiv2924964467msonormal"/>
        <w:numPr>
          <w:ilvl w:val="1"/>
          <w:numId w:val="36"/>
        </w:numPr>
        <w:spacing w:before="0" w:beforeAutospacing="0" w:after="0" w:afterAutospacing="0"/>
      </w:pPr>
      <w:r w:rsidRPr="00027B85">
        <w:t xml:space="preserve">Personal validation questions which appear throughout the </w:t>
      </w:r>
      <w:proofErr w:type="gramStart"/>
      <w:r w:rsidRPr="00027B85">
        <w:t>course;</w:t>
      </w:r>
      <w:proofErr w:type="gramEnd"/>
    </w:p>
    <w:p w14:paraId="598283C3" w14:textId="4281AF7A" w:rsidR="00895E45" w:rsidRPr="00027B85" w:rsidRDefault="00895E45" w:rsidP="00027B85">
      <w:pPr>
        <w:pStyle w:val="yiv2924964467msonormal"/>
        <w:numPr>
          <w:ilvl w:val="1"/>
          <w:numId w:val="36"/>
        </w:numPr>
        <w:spacing w:before="0" w:beforeAutospacing="0" w:after="0" w:afterAutospacing="0"/>
      </w:pPr>
      <w:r w:rsidRPr="00027B85">
        <w:t xml:space="preserve">Ways to keep students from completing more than four hours of instruction in a calendar </w:t>
      </w:r>
      <w:proofErr w:type="gramStart"/>
      <w:r w:rsidRPr="00027B85">
        <w:t>day;</w:t>
      </w:r>
      <w:proofErr w:type="gramEnd"/>
    </w:p>
    <w:p w14:paraId="7F05BF68" w14:textId="77777777" w:rsidR="00895E45" w:rsidRPr="00027B85" w:rsidRDefault="00895E45" w:rsidP="00027B85">
      <w:pPr>
        <w:pStyle w:val="yiv2924964467msonormal"/>
        <w:numPr>
          <w:ilvl w:val="1"/>
          <w:numId w:val="36"/>
        </w:numPr>
        <w:spacing w:before="0" w:beforeAutospacing="0" w:after="0" w:afterAutospacing="0"/>
      </w:pPr>
      <w:r w:rsidRPr="00027B85">
        <w:t>A final examination at the completion of the program.  A passing score of at least eighty percent is required and students have three attempts at passing.</w:t>
      </w:r>
    </w:p>
    <w:p w14:paraId="1A8CE462" w14:textId="77777777" w:rsidR="00895E45" w:rsidRDefault="00895E45" w:rsidP="00895E45">
      <w:pPr>
        <w:pStyle w:val="yiv2924964467msonormal"/>
        <w:spacing w:before="0" w:beforeAutospacing="0" w:after="0" w:afterAutospacing="0"/>
        <w:ind w:left="1080"/>
        <w:rPr>
          <w:sz w:val="22"/>
          <w:szCs w:val="22"/>
        </w:rPr>
      </w:pPr>
    </w:p>
    <w:p w14:paraId="2A2230C9" w14:textId="05402F0D" w:rsidR="00895E45" w:rsidRPr="00027B85" w:rsidRDefault="00027B85" w:rsidP="00027B85">
      <w:pPr>
        <w:pStyle w:val="yiv2924964467msonormal"/>
        <w:numPr>
          <w:ilvl w:val="0"/>
          <w:numId w:val="37"/>
        </w:numPr>
        <w:spacing w:before="0" w:beforeAutospacing="0" w:after="0" w:afterAutospacing="0"/>
      </w:pPr>
      <w:r>
        <w:t>Current statute provides</w:t>
      </w:r>
      <w:r w:rsidR="00895E45" w:rsidRPr="00027B85">
        <w:t xml:space="preserve"> that no one </w:t>
      </w:r>
      <w:r>
        <w:t>may</w:t>
      </w:r>
      <w:r w:rsidR="00895E45" w:rsidRPr="00027B85">
        <w:t xml:space="preserve"> receive a driver's license unless and until all other operator's licenses</w:t>
      </w:r>
      <w:r>
        <w:t xml:space="preserve"> are</w:t>
      </w:r>
      <w:r w:rsidR="00895E45" w:rsidRPr="00027B85">
        <w:t xml:space="preserve"> surrendered to the </w:t>
      </w:r>
      <w:r>
        <w:t>DMV</w:t>
      </w:r>
      <w:r w:rsidR="00895E45" w:rsidRPr="00027B85">
        <w:t>.  The bill adds a deadline of forty-five days upon a person becoming a resident of the State, unless specifically exempted by law.</w:t>
      </w:r>
    </w:p>
    <w:p w14:paraId="7CB656CC" w14:textId="77777777" w:rsidR="00895E45" w:rsidRPr="00027B85" w:rsidRDefault="00895E45" w:rsidP="00895E45">
      <w:pPr>
        <w:pStyle w:val="yiv2924964467msonormal"/>
        <w:spacing w:before="0" w:beforeAutospacing="0" w:after="0" w:afterAutospacing="0"/>
      </w:pPr>
    </w:p>
    <w:p w14:paraId="6A2886F9" w14:textId="33BF64CB" w:rsidR="00895E45" w:rsidRPr="00027B85" w:rsidRDefault="00895E45" w:rsidP="00323A1E">
      <w:pPr>
        <w:pStyle w:val="yiv2924964467msonormal"/>
        <w:numPr>
          <w:ilvl w:val="0"/>
          <w:numId w:val="37"/>
        </w:numPr>
        <w:spacing w:before="0" w:beforeAutospacing="0" w:after="0" w:afterAutospacing="0"/>
        <w:rPr>
          <w:rFonts w:eastAsia="Calibri"/>
        </w:rPr>
      </w:pPr>
      <w:r w:rsidRPr="00027B85">
        <w:t>The vision screening required to obtain a driver’s license can be waived if a driver has a certificate</w:t>
      </w:r>
      <w:r w:rsidRPr="00027B85">
        <w:rPr>
          <w:rFonts w:eastAsia="Calibri"/>
        </w:rPr>
        <w:t xml:space="preserve"> of vision examination dated within the</w:t>
      </w:r>
      <w:r w:rsidR="00821D04">
        <w:rPr>
          <w:rFonts w:eastAsia="Calibri"/>
        </w:rPr>
        <w:t xml:space="preserve"> past</w:t>
      </w:r>
      <w:r w:rsidRPr="00027B85">
        <w:rPr>
          <w:rFonts w:eastAsia="Calibri"/>
        </w:rPr>
        <w:t xml:space="preserve"> </w:t>
      </w:r>
      <w:r w:rsidR="00027B85" w:rsidRPr="00027B85">
        <w:rPr>
          <w:rFonts w:eastAsia="Calibri"/>
        </w:rPr>
        <w:t xml:space="preserve">36 </w:t>
      </w:r>
      <w:r w:rsidRPr="00027B85">
        <w:rPr>
          <w:rFonts w:eastAsia="Calibri"/>
        </w:rPr>
        <w:t xml:space="preserve">months. </w:t>
      </w:r>
      <w:r w:rsidR="00027B85">
        <w:rPr>
          <w:rFonts w:eastAsia="Calibri"/>
        </w:rPr>
        <w:t xml:space="preserve"> </w:t>
      </w:r>
      <w:r w:rsidRPr="00027B85">
        <w:rPr>
          <w:rFonts w:eastAsia="Calibri"/>
        </w:rPr>
        <w:t xml:space="preserve">Active-duty members of the Armed Services are exempt from the requirements of this section as long as they provide DMV with a Leave and Earning Statement dated within thirty-one days of applying for, or renewing, their driver’s license and a non-expired military identification card. </w:t>
      </w:r>
    </w:p>
    <w:p w14:paraId="54F95412" w14:textId="77777777" w:rsidR="005F41A7" w:rsidRPr="005F41A7" w:rsidRDefault="005F41A7" w:rsidP="00027B85">
      <w:pPr>
        <w:contextualSpacing/>
        <w:jc w:val="both"/>
        <w:rPr>
          <w:rFonts w:eastAsia="Calibri" w:cs="Times New Roman"/>
          <w:sz w:val="24"/>
          <w:szCs w:val="24"/>
          <w:u w:val="single"/>
        </w:rPr>
      </w:pPr>
    </w:p>
    <w:p w14:paraId="7C1B29B3" w14:textId="41FCC37A" w:rsidR="005F41A7" w:rsidRDefault="005F41A7" w:rsidP="00504C9D">
      <w:pPr>
        <w:spacing w:after="200" w:line="276" w:lineRule="auto"/>
        <w:ind w:left="360"/>
        <w:jc w:val="both"/>
        <w:rPr>
          <w:rFonts w:eastAsia="Calibri" w:cs="Times New Roman"/>
          <w:b/>
          <w:i/>
          <w:sz w:val="24"/>
          <w:szCs w:val="24"/>
        </w:rPr>
      </w:pPr>
      <w:r w:rsidRPr="005F41A7">
        <w:rPr>
          <w:rFonts w:eastAsia="Calibri" w:cs="Times New Roman"/>
          <w:b/>
          <w:i/>
          <w:sz w:val="24"/>
          <w:szCs w:val="24"/>
        </w:rPr>
        <w:t>(Act</w:t>
      </w:r>
      <w:r w:rsidR="00027B85">
        <w:rPr>
          <w:rFonts w:eastAsia="Calibri" w:cs="Times New Roman"/>
          <w:b/>
          <w:i/>
          <w:sz w:val="24"/>
          <w:szCs w:val="24"/>
        </w:rPr>
        <w:t xml:space="preserve"> </w:t>
      </w:r>
      <w:r w:rsidR="00756885">
        <w:rPr>
          <w:rFonts w:eastAsia="Calibri" w:cs="Times New Roman"/>
          <w:b/>
          <w:i/>
          <w:sz w:val="24"/>
          <w:szCs w:val="24"/>
        </w:rPr>
        <w:t>51</w:t>
      </w:r>
      <w:r w:rsidRPr="005F41A7">
        <w:rPr>
          <w:rFonts w:eastAsia="Calibri" w:cs="Times New Roman"/>
          <w:b/>
          <w:i/>
          <w:sz w:val="24"/>
          <w:szCs w:val="24"/>
        </w:rPr>
        <w:t xml:space="preserve"> was signed by the Governor on </w:t>
      </w:r>
      <w:r w:rsidR="00756885">
        <w:rPr>
          <w:rFonts w:eastAsia="Calibri" w:cs="Times New Roman"/>
          <w:b/>
          <w:i/>
          <w:sz w:val="24"/>
          <w:szCs w:val="24"/>
        </w:rPr>
        <w:t>May 30</w:t>
      </w:r>
      <w:r w:rsidR="00027B85">
        <w:rPr>
          <w:rFonts w:eastAsia="Calibri" w:cs="Times New Roman"/>
          <w:b/>
          <w:i/>
          <w:sz w:val="24"/>
          <w:szCs w:val="24"/>
        </w:rPr>
        <w:t>, 2023</w:t>
      </w:r>
      <w:r w:rsidRPr="005F41A7">
        <w:rPr>
          <w:rFonts w:eastAsia="Calibri" w:cs="Times New Roman"/>
          <w:b/>
          <w:i/>
          <w:sz w:val="24"/>
          <w:szCs w:val="24"/>
        </w:rPr>
        <w:t>.)</w:t>
      </w:r>
    </w:p>
    <w:p w14:paraId="5957CC0A" w14:textId="77777777" w:rsidR="00607382" w:rsidRPr="005F41A7" w:rsidRDefault="00607382" w:rsidP="00504C9D">
      <w:pPr>
        <w:spacing w:after="200" w:line="276" w:lineRule="auto"/>
        <w:ind w:left="360"/>
        <w:jc w:val="both"/>
        <w:rPr>
          <w:rFonts w:eastAsia="Calibri" w:cs="Times New Roman"/>
          <w:b/>
          <w:i/>
          <w:sz w:val="24"/>
          <w:szCs w:val="24"/>
        </w:rPr>
      </w:pPr>
    </w:p>
    <w:p w14:paraId="07D0D230" w14:textId="72630BE5" w:rsidR="005F41A7" w:rsidRPr="005F41A7" w:rsidRDefault="005F41A7" w:rsidP="005F41A7">
      <w:pPr>
        <w:spacing w:after="160" w:line="259" w:lineRule="auto"/>
        <w:jc w:val="center"/>
        <w:rPr>
          <w:rFonts w:eastAsia="Calibri" w:cs="Times New Roman"/>
          <w:sz w:val="24"/>
          <w:szCs w:val="24"/>
          <w:u w:val="single"/>
        </w:rPr>
      </w:pPr>
      <w:r w:rsidRPr="005F41A7">
        <w:rPr>
          <w:rFonts w:eastAsia="Calibri" w:cs="Times New Roman"/>
          <w:sz w:val="24"/>
          <w:szCs w:val="24"/>
          <w:u w:val="single"/>
        </w:rPr>
        <w:t xml:space="preserve">BILLS ADOPTED </w:t>
      </w:r>
      <w:r w:rsidR="00BD6F40">
        <w:rPr>
          <w:rFonts w:eastAsia="Calibri" w:cs="Times New Roman"/>
          <w:sz w:val="24"/>
          <w:szCs w:val="24"/>
          <w:u w:val="single"/>
        </w:rPr>
        <w:t xml:space="preserve">BY THE HOUSE </w:t>
      </w:r>
      <w:r w:rsidR="00504C9D">
        <w:rPr>
          <w:rFonts w:eastAsia="Calibri" w:cs="Times New Roman"/>
          <w:sz w:val="24"/>
          <w:szCs w:val="24"/>
          <w:u w:val="single"/>
        </w:rPr>
        <w:t>AND AWAITING SENATE ACTION</w:t>
      </w:r>
    </w:p>
    <w:p w14:paraId="4DBF508D" w14:textId="455C9727" w:rsidR="00504C9D" w:rsidRPr="00504C9D" w:rsidRDefault="005F41A7" w:rsidP="00DC2952">
      <w:pPr>
        <w:numPr>
          <w:ilvl w:val="0"/>
          <w:numId w:val="3"/>
        </w:numPr>
        <w:spacing w:before="100" w:beforeAutospacing="1" w:after="100" w:afterAutospacing="1" w:line="259" w:lineRule="auto"/>
        <w:jc w:val="both"/>
        <w:rPr>
          <w:rFonts w:eastAsia="Times New Roman" w:cs="Times New Roman"/>
          <w:sz w:val="24"/>
          <w:szCs w:val="24"/>
        </w:rPr>
      </w:pPr>
      <w:r w:rsidRPr="00504C9D">
        <w:rPr>
          <w:rFonts w:eastAsia="Times New Roman" w:cs="Times New Roman"/>
          <w:b/>
          <w:sz w:val="24"/>
          <w:szCs w:val="24"/>
        </w:rPr>
        <w:t xml:space="preserve">House Bill </w:t>
      </w:r>
      <w:r w:rsidR="00504C9D" w:rsidRPr="00504C9D">
        <w:rPr>
          <w:rFonts w:eastAsia="Times New Roman" w:cs="Times New Roman"/>
          <w:b/>
          <w:sz w:val="24"/>
          <w:szCs w:val="24"/>
        </w:rPr>
        <w:t>3168</w:t>
      </w:r>
      <w:r w:rsidR="00504C9D" w:rsidRPr="00504C9D">
        <w:rPr>
          <w:rFonts w:eastAsia="Times New Roman" w:cs="Times New Roman"/>
          <w:bCs/>
          <w:sz w:val="24"/>
          <w:szCs w:val="24"/>
        </w:rPr>
        <w:t xml:space="preserve"> allows for the operation of antique motor vehicles at night </w:t>
      </w:r>
      <w:proofErr w:type="gramStart"/>
      <w:r w:rsidR="00504C9D" w:rsidRPr="00504C9D">
        <w:rPr>
          <w:rFonts w:eastAsia="Times New Roman" w:cs="Times New Roman"/>
          <w:bCs/>
          <w:sz w:val="24"/>
          <w:szCs w:val="24"/>
        </w:rPr>
        <w:t>as</w:t>
      </w:r>
      <w:r w:rsidR="00504C9D" w:rsidRPr="00504C9D">
        <w:rPr>
          <w:rFonts w:cs="Times New Roman"/>
          <w:sz w:val="24"/>
          <w:szCs w:val="24"/>
        </w:rPr>
        <w:t xml:space="preserve"> long as</w:t>
      </w:r>
      <w:proofErr w:type="gramEnd"/>
      <w:r w:rsidR="00504C9D" w:rsidRPr="00504C9D">
        <w:rPr>
          <w:rFonts w:cs="Times New Roman"/>
          <w:sz w:val="24"/>
          <w:szCs w:val="24"/>
        </w:rPr>
        <w:t xml:space="preserve"> the vehicle is equipped with working headlights and rear lights.  Existing statute </w:t>
      </w:r>
      <w:r w:rsidR="00504C9D">
        <w:rPr>
          <w:rFonts w:cs="Times New Roman"/>
          <w:sz w:val="24"/>
          <w:szCs w:val="24"/>
        </w:rPr>
        <w:t>provides that mo</w:t>
      </w:r>
      <w:r w:rsidR="00504C9D" w:rsidRPr="00504C9D">
        <w:rPr>
          <w:rFonts w:cs="Times New Roman"/>
          <w:sz w:val="24"/>
          <w:szCs w:val="24"/>
        </w:rPr>
        <w:t>tor vehicles and motorcycles may be classified by the Department of Motor Vehicles as</w:t>
      </w:r>
      <w:r w:rsidR="00821D04">
        <w:rPr>
          <w:rFonts w:cs="Times New Roman"/>
          <w:sz w:val="24"/>
          <w:szCs w:val="24"/>
        </w:rPr>
        <w:t xml:space="preserve"> an</w:t>
      </w:r>
      <w:r w:rsidR="00504C9D" w:rsidRPr="00504C9D">
        <w:rPr>
          <w:rFonts w:cs="Times New Roman"/>
          <w:sz w:val="24"/>
          <w:szCs w:val="24"/>
        </w:rPr>
        <w:t xml:space="preserve"> antique if the following conditions are met:</w:t>
      </w:r>
    </w:p>
    <w:p w14:paraId="3F820F68" w14:textId="77777777" w:rsidR="00504C9D" w:rsidRDefault="00504C9D" w:rsidP="00504C9D">
      <w:pPr>
        <w:pStyle w:val="ListParagraph"/>
        <w:numPr>
          <w:ilvl w:val="0"/>
          <w:numId w:val="39"/>
        </w:numPr>
        <w:spacing w:after="200" w:line="276" w:lineRule="auto"/>
        <w:rPr>
          <w:rFonts w:cs="Times New Roman"/>
          <w:sz w:val="24"/>
          <w:szCs w:val="24"/>
        </w:rPr>
      </w:pPr>
      <w:r>
        <w:rPr>
          <w:rFonts w:cs="Times New Roman"/>
          <w:sz w:val="24"/>
          <w:szCs w:val="24"/>
        </w:rPr>
        <w:t>O</w:t>
      </w:r>
      <w:r w:rsidRPr="00DF7412">
        <w:rPr>
          <w:rFonts w:cs="Times New Roman"/>
          <w:sz w:val="24"/>
          <w:szCs w:val="24"/>
        </w:rPr>
        <w:t xml:space="preserve">ver twenty-five years </w:t>
      </w:r>
      <w:proofErr w:type="gramStart"/>
      <w:r w:rsidRPr="00DF7412">
        <w:rPr>
          <w:rFonts w:cs="Times New Roman"/>
          <w:sz w:val="24"/>
          <w:szCs w:val="24"/>
        </w:rPr>
        <w:t>old</w:t>
      </w:r>
      <w:r>
        <w:rPr>
          <w:rFonts w:cs="Times New Roman"/>
          <w:sz w:val="24"/>
          <w:szCs w:val="24"/>
        </w:rPr>
        <w:t>;</w:t>
      </w:r>
      <w:proofErr w:type="gramEnd"/>
      <w:r w:rsidRPr="00DF7412">
        <w:rPr>
          <w:rFonts w:cs="Times New Roman"/>
          <w:sz w:val="24"/>
          <w:szCs w:val="24"/>
        </w:rPr>
        <w:t xml:space="preserve"> </w:t>
      </w:r>
    </w:p>
    <w:p w14:paraId="7B95EEFB" w14:textId="77777777" w:rsidR="00504C9D" w:rsidRDefault="00504C9D" w:rsidP="00504C9D">
      <w:pPr>
        <w:pStyle w:val="ListParagraph"/>
        <w:numPr>
          <w:ilvl w:val="0"/>
          <w:numId w:val="39"/>
        </w:numPr>
        <w:spacing w:after="200" w:line="276" w:lineRule="auto"/>
        <w:rPr>
          <w:rFonts w:cs="Times New Roman"/>
          <w:sz w:val="24"/>
          <w:szCs w:val="24"/>
        </w:rPr>
      </w:pPr>
      <w:r>
        <w:rPr>
          <w:rFonts w:cs="Times New Roman"/>
          <w:sz w:val="24"/>
          <w:szCs w:val="24"/>
        </w:rPr>
        <w:t>O</w:t>
      </w:r>
      <w:r w:rsidRPr="00DF7412">
        <w:rPr>
          <w:rFonts w:cs="Times New Roman"/>
          <w:sz w:val="24"/>
          <w:szCs w:val="24"/>
        </w:rPr>
        <w:t>wned solely as a collector's item</w:t>
      </w:r>
      <w:r>
        <w:rPr>
          <w:rFonts w:cs="Times New Roman"/>
          <w:sz w:val="24"/>
          <w:szCs w:val="24"/>
        </w:rPr>
        <w:t>;</w:t>
      </w:r>
      <w:r w:rsidRPr="00DF7412">
        <w:rPr>
          <w:rFonts w:cs="Times New Roman"/>
          <w:sz w:val="24"/>
          <w:szCs w:val="24"/>
        </w:rPr>
        <w:t xml:space="preserve"> and</w:t>
      </w:r>
      <w:r>
        <w:rPr>
          <w:rFonts w:cs="Times New Roman"/>
          <w:sz w:val="24"/>
          <w:szCs w:val="24"/>
        </w:rPr>
        <w:t>,</w:t>
      </w:r>
    </w:p>
    <w:p w14:paraId="41FE0A18" w14:textId="77777777" w:rsidR="00504C9D" w:rsidRDefault="00504C9D" w:rsidP="00504C9D">
      <w:pPr>
        <w:pStyle w:val="ListParagraph"/>
        <w:numPr>
          <w:ilvl w:val="0"/>
          <w:numId w:val="39"/>
        </w:numPr>
        <w:spacing w:after="200" w:line="276" w:lineRule="auto"/>
        <w:rPr>
          <w:rFonts w:cs="Times New Roman"/>
          <w:sz w:val="24"/>
          <w:szCs w:val="24"/>
        </w:rPr>
      </w:pPr>
      <w:r>
        <w:rPr>
          <w:rFonts w:cs="Times New Roman"/>
          <w:sz w:val="24"/>
          <w:szCs w:val="24"/>
        </w:rPr>
        <w:t>U</w:t>
      </w:r>
      <w:r w:rsidRPr="00DF7412">
        <w:rPr>
          <w:rFonts w:cs="Times New Roman"/>
          <w:sz w:val="24"/>
          <w:szCs w:val="24"/>
        </w:rPr>
        <w:t>sed for participation in club activities, exhibits, tours, parades, and similar uses</w:t>
      </w:r>
      <w:r>
        <w:rPr>
          <w:rFonts w:cs="Times New Roman"/>
          <w:sz w:val="24"/>
          <w:szCs w:val="24"/>
        </w:rPr>
        <w:t>;</w:t>
      </w:r>
      <w:r w:rsidRPr="00DF7412">
        <w:rPr>
          <w:rFonts w:cs="Times New Roman"/>
          <w:sz w:val="24"/>
          <w:szCs w:val="24"/>
        </w:rPr>
        <w:t xml:space="preserve"> but</w:t>
      </w:r>
      <w:r>
        <w:rPr>
          <w:rFonts w:cs="Times New Roman"/>
          <w:sz w:val="24"/>
          <w:szCs w:val="24"/>
        </w:rPr>
        <w:t>,</w:t>
      </w:r>
      <w:r w:rsidRPr="00DF7412">
        <w:rPr>
          <w:rFonts w:cs="Times New Roman"/>
          <w:sz w:val="24"/>
          <w:szCs w:val="24"/>
        </w:rPr>
        <w:t xml:space="preserve"> </w:t>
      </w:r>
    </w:p>
    <w:p w14:paraId="49D61EBF" w14:textId="77777777" w:rsidR="00504C9D" w:rsidRDefault="00504C9D" w:rsidP="00504C9D">
      <w:pPr>
        <w:pStyle w:val="ListParagraph"/>
        <w:numPr>
          <w:ilvl w:val="0"/>
          <w:numId w:val="39"/>
        </w:numPr>
        <w:spacing w:after="200" w:line="276" w:lineRule="auto"/>
        <w:rPr>
          <w:rFonts w:cs="Times New Roman"/>
          <w:sz w:val="24"/>
          <w:szCs w:val="24"/>
        </w:rPr>
      </w:pPr>
      <w:r>
        <w:rPr>
          <w:rFonts w:cs="Times New Roman"/>
          <w:sz w:val="24"/>
          <w:szCs w:val="24"/>
        </w:rPr>
        <w:t>N</w:t>
      </w:r>
      <w:r w:rsidRPr="00DF7412">
        <w:rPr>
          <w:rFonts w:cs="Times New Roman"/>
          <w:sz w:val="24"/>
          <w:szCs w:val="24"/>
        </w:rPr>
        <w:t>ot used for general transportation</w:t>
      </w:r>
      <w:r>
        <w:rPr>
          <w:rFonts w:cs="Times New Roman"/>
          <w:sz w:val="24"/>
          <w:szCs w:val="24"/>
        </w:rPr>
        <w:t>.</w:t>
      </w:r>
    </w:p>
    <w:p w14:paraId="36667209" w14:textId="77777777" w:rsidR="00504C9D" w:rsidRDefault="00504C9D" w:rsidP="00504C9D">
      <w:pPr>
        <w:pStyle w:val="ListParagraph"/>
        <w:rPr>
          <w:rFonts w:cs="Times New Roman"/>
          <w:sz w:val="24"/>
          <w:szCs w:val="24"/>
        </w:rPr>
      </w:pPr>
    </w:p>
    <w:p w14:paraId="431C4F47" w14:textId="7AA540E9" w:rsidR="005F41A7" w:rsidRPr="005F41A7" w:rsidRDefault="00504C9D" w:rsidP="00504C9D">
      <w:pPr>
        <w:spacing w:after="200" w:line="276" w:lineRule="auto"/>
        <w:ind w:left="360"/>
        <w:rPr>
          <w:rFonts w:eastAsia="Calibri" w:cs="Times New Roman"/>
          <w:b/>
          <w:i/>
          <w:sz w:val="20"/>
        </w:rPr>
      </w:pPr>
      <w:r>
        <w:rPr>
          <w:rFonts w:eastAsia="Calibri" w:cs="Times New Roman"/>
          <w:b/>
          <w:i/>
          <w:sz w:val="24"/>
        </w:rPr>
        <w:t>(</w:t>
      </w:r>
      <w:r w:rsidR="005F41A7" w:rsidRPr="005F41A7">
        <w:rPr>
          <w:rFonts w:eastAsia="Calibri" w:cs="Times New Roman"/>
          <w:b/>
          <w:i/>
          <w:sz w:val="24"/>
        </w:rPr>
        <w:t>H.</w:t>
      </w:r>
      <w:r w:rsidR="006A78FE">
        <w:rPr>
          <w:rFonts w:eastAsia="Calibri" w:cs="Times New Roman"/>
          <w:b/>
          <w:i/>
          <w:sz w:val="24"/>
        </w:rPr>
        <w:t xml:space="preserve"> </w:t>
      </w:r>
      <w:r w:rsidR="005F41A7" w:rsidRPr="005F41A7">
        <w:rPr>
          <w:rFonts w:eastAsia="Calibri" w:cs="Times New Roman"/>
          <w:b/>
          <w:i/>
          <w:sz w:val="24"/>
        </w:rPr>
        <w:t>3</w:t>
      </w:r>
      <w:r>
        <w:rPr>
          <w:rFonts w:eastAsia="Calibri" w:cs="Times New Roman"/>
          <w:b/>
          <w:i/>
          <w:sz w:val="24"/>
        </w:rPr>
        <w:t>168</w:t>
      </w:r>
      <w:r w:rsidR="005F41A7" w:rsidRPr="005F41A7">
        <w:rPr>
          <w:rFonts w:eastAsia="Calibri" w:cs="Times New Roman"/>
          <w:b/>
          <w:i/>
          <w:sz w:val="24"/>
        </w:rPr>
        <w:t xml:space="preserve"> </w:t>
      </w:r>
      <w:r w:rsidR="005F41A7" w:rsidRPr="005F41A7">
        <w:rPr>
          <w:rFonts w:eastAsia="Calibri" w:cs="Times New Roman"/>
          <w:b/>
          <w:i/>
          <w:sz w:val="24"/>
          <w:szCs w:val="24"/>
        </w:rPr>
        <w:t>was adopted by the</w:t>
      </w:r>
      <w:r>
        <w:rPr>
          <w:rFonts w:eastAsia="Calibri" w:cs="Times New Roman"/>
          <w:b/>
          <w:i/>
          <w:sz w:val="24"/>
          <w:szCs w:val="24"/>
        </w:rPr>
        <w:t xml:space="preserve"> </w:t>
      </w:r>
      <w:r w:rsidR="005F41A7" w:rsidRPr="005F41A7">
        <w:rPr>
          <w:rFonts w:eastAsia="Calibri" w:cs="Times New Roman"/>
          <w:b/>
          <w:i/>
          <w:sz w:val="24"/>
          <w:szCs w:val="24"/>
        </w:rPr>
        <w:t>House on April 2</w:t>
      </w:r>
      <w:r>
        <w:rPr>
          <w:rFonts w:eastAsia="Calibri" w:cs="Times New Roman"/>
          <w:b/>
          <w:i/>
          <w:sz w:val="24"/>
          <w:szCs w:val="24"/>
        </w:rPr>
        <w:t>8</w:t>
      </w:r>
      <w:r w:rsidR="005F41A7" w:rsidRPr="005F41A7">
        <w:rPr>
          <w:rFonts w:eastAsia="Calibri" w:cs="Times New Roman"/>
          <w:b/>
          <w:i/>
          <w:sz w:val="24"/>
          <w:szCs w:val="24"/>
        </w:rPr>
        <w:t>, 202</w:t>
      </w:r>
      <w:r>
        <w:rPr>
          <w:rFonts w:eastAsia="Calibri" w:cs="Times New Roman"/>
          <w:b/>
          <w:i/>
          <w:sz w:val="24"/>
          <w:szCs w:val="24"/>
        </w:rPr>
        <w:t>3</w:t>
      </w:r>
      <w:r w:rsidR="005F41A7" w:rsidRPr="005F41A7">
        <w:rPr>
          <w:rFonts w:eastAsia="Calibri" w:cs="Times New Roman"/>
          <w:b/>
          <w:i/>
          <w:sz w:val="24"/>
          <w:szCs w:val="24"/>
        </w:rPr>
        <w:t xml:space="preserve">, and referred to the Senate </w:t>
      </w:r>
      <w:r>
        <w:rPr>
          <w:rFonts w:eastAsia="Calibri" w:cs="Times New Roman"/>
          <w:b/>
          <w:i/>
          <w:sz w:val="24"/>
          <w:szCs w:val="24"/>
        </w:rPr>
        <w:t xml:space="preserve">Transportation </w:t>
      </w:r>
      <w:r w:rsidR="005F41A7" w:rsidRPr="005F41A7">
        <w:rPr>
          <w:rFonts w:eastAsia="Calibri" w:cs="Times New Roman"/>
          <w:b/>
          <w:i/>
          <w:sz w:val="24"/>
          <w:szCs w:val="24"/>
        </w:rPr>
        <w:t xml:space="preserve">Committee.) </w:t>
      </w:r>
    </w:p>
    <w:p w14:paraId="712524CE" w14:textId="29772D8C" w:rsidR="00854380" w:rsidRPr="00504C9D" w:rsidRDefault="00854380" w:rsidP="00504C9D">
      <w:pPr>
        <w:pStyle w:val="ListParagraph"/>
        <w:numPr>
          <w:ilvl w:val="0"/>
          <w:numId w:val="7"/>
        </w:numPr>
        <w:jc w:val="both"/>
        <w:rPr>
          <w:sz w:val="24"/>
          <w:szCs w:val="24"/>
        </w:rPr>
      </w:pPr>
      <w:bookmarkStart w:id="10" w:name="_Hlk135211844"/>
      <w:r w:rsidRPr="00B709E9">
        <w:rPr>
          <w:rFonts w:eastAsia="Calibri" w:cs="Times New Roman"/>
          <w:b/>
          <w:sz w:val="24"/>
          <w:szCs w:val="24"/>
        </w:rPr>
        <w:t>House Bill 3</w:t>
      </w:r>
      <w:r w:rsidR="00504C9D">
        <w:rPr>
          <w:rFonts w:eastAsia="Calibri" w:cs="Times New Roman"/>
          <w:b/>
          <w:sz w:val="24"/>
          <w:szCs w:val="24"/>
        </w:rPr>
        <w:t>355</w:t>
      </w:r>
      <w:r w:rsidRPr="00B709E9">
        <w:rPr>
          <w:rFonts w:eastAsia="Calibri" w:cs="Times New Roman"/>
          <w:sz w:val="24"/>
          <w:szCs w:val="24"/>
        </w:rPr>
        <w:t xml:space="preserve"> </w:t>
      </w:r>
      <w:r w:rsidR="00504C9D" w:rsidRPr="00504C9D">
        <w:rPr>
          <w:rFonts w:eastAsia="Calibri" w:cs="Times New Roman"/>
          <w:sz w:val="24"/>
          <w:szCs w:val="24"/>
        </w:rPr>
        <w:t>provides that, for recreational purposes only, a pick-up truck utilizing a fifth wheel assembly to tow a vehicle may tow one additional separate trailing vehicle.  The pick-up truck and trailing vehicles may not exceed a combined total length of 75 feet. The weight of the final trailing vehicle must not exceed 3,000 pounds.  A truck operating this combination must be equipped with a video system which allows the driver of the truck to monitor the final trailing vehicle as it is being towed.</w:t>
      </w:r>
    </w:p>
    <w:p w14:paraId="1A47D40E" w14:textId="77777777" w:rsidR="00533B19" w:rsidRDefault="00533B19" w:rsidP="00504C9D">
      <w:pPr>
        <w:spacing w:after="200" w:line="276" w:lineRule="auto"/>
        <w:ind w:left="360"/>
        <w:jc w:val="both"/>
        <w:rPr>
          <w:rFonts w:eastAsia="Calibri" w:cs="Times New Roman"/>
          <w:b/>
          <w:i/>
          <w:sz w:val="24"/>
          <w:szCs w:val="24"/>
        </w:rPr>
      </w:pPr>
    </w:p>
    <w:p w14:paraId="3901E3C1" w14:textId="49A000B4" w:rsidR="00854380" w:rsidRDefault="00854380" w:rsidP="00504C9D">
      <w:pPr>
        <w:spacing w:after="200" w:line="276" w:lineRule="auto"/>
        <w:ind w:left="360"/>
        <w:jc w:val="both"/>
        <w:rPr>
          <w:rFonts w:eastAsia="Calibri" w:cs="Times New Roman"/>
          <w:b/>
          <w:i/>
          <w:sz w:val="24"/>
          <w:szCs w:val="24"/>
        </w:rPr>
      </w:pPr>
      <w:r w:rsidRPr="00B709E9">
        <w:rPr>
          <w:rFonts w:eastAsia="Calibri" w:cs="Times New Roman"/>
          <w:b/>
          <w:i/>
          <w:sz w:val="24"/>
          <w:szCs w:val="24"/>
        </w:rPr>
        <w:t>(H. 3</w:t>
      </w:r>
      <w:r w:rsidR="00504C9D">
        <w:rPr>
          <w:rFonts w:eastAsia="Calibri" w:cs="Times New Roman"/>
          <w:b/>
          <w:i/>
          <w:sz w:val="24"/>
          <w:szCs w:val="24"/>
        </w:rPr>
        <w:t>355</w:t>
      </w:r>
      <w:r w:rsidRPr="00B709E9">
        <w:rPr>
          <w:rFonts w:eastAsia="Calibri" w:cs="Times New Roman"/>
          <w:b/>
          <w:i/>
          <w:sz w:val="24"/>
          <w:szCs w:val="24"/>
        </w:rPr>
        <w:t xml:space="preserve"> was adopted by the House on </w:t>
      </w:r>
      <w:r w:rsidR="00504C9D">
        <w:rPr>
          <w:rFonts w:eastAsia="Calibri" w:cs="Times New Roman"/>
          <w:b/>
          <w:i/>
          <w:sz w:val="24"/>
          <w:szCs w:val="24"/>
        </w:rPr>
        <w:t>May 3</w:t>
      </w:r>
      <w:r w:rsidRPr="00B709E9">
        <w:rPr>
          <w:rFonts w:eastAsia="Calibri" w:cs="Times New Roman"/>
          <w:b/>
          <w:i/>
          <w:sz w:val="24"/>
          <w:szCs w:val="24"/>
        </w:rPr>
        <w:t>, 202</w:t>
      </w:r>
      <w:r w:rsidR="00504C9D">
        <w:rPr>
          <w:rFonts w:eastAsia="Calibri" w:cs="Times New Roman"/>
          <w:b/>
          <w:i/>
          <w:sz w:val="24"/>
          <w:szCs w:val="24"/>
        </w:rPr>
        <w:t>3</w:t>
      </w:r>
      <w:r w:rsidRPr="00B709E9">
        <w:rPr>
          <w:rFonts w:eastAsia="Calibri" w:cs="Times New Roman"/>
          <w:b/>
          <w:i/>
          <w:sz w:val="24"/>
          <w:szCs w:val="24"/>
        </w:rPr>
        <w:t xml:space="preserve">, and referred to the </w:t>
      </w:r>
      <w:r w:rsidR="00AC1424">
        <w:rPr>
          <w:rFonts w:eastAsia="Calibri" w:cs="Times New Roman"/>
          <w:b/>
          <w:i/>
          <w:sz w:val="24"/>
          <w:szCs w:val="24"/>
        </w:rPr>
        <w:t>Senate Transportation Committee</w:t>
      </w:r>
      <w:r w:rsidRPr="00B709E9">
        <w:rPr>
          <w:rFonts w:eastAsia="Calibri" w:cs="Times New Roman"/>
          <w:b/>
          <w:i/>
          <w:sz w:val="24"/>
          <w:szCs w:val="24"/>
        </w:rPr>
        <w:t>.)</w:t>
      </w:r>
    </w:p>
    <w:p w14:paraId="3EBFB5FB" w14:textId="77777777" w:rsidR="00607382" w:rsidRDefault="00607382" w:rsidP="00504C9D">
      <w:pPr>
        <w:spacing w:after="200" w:line="276" w:lineRule="auto"/>
        <w:ind w:left="360"/>
        <w:jc w:val="both"/>
        <w:rPr>
          <w:rFonts w:eastAsia="Calibri" w:cs="Times New Roman"/>
          <w:b/>
          <w:i/>
          <w:sz w:val="24"/>
          <w:szCs w:val="24"/>
        </w:rPr>
      </w:pPr>
    </w:p>
    <w:bookmarkEnd w:id="10"/>
    <w:p w14:paraId="20465E8D" w14:textId="6AF1FCEA" w:rsidR="00504C9D" w:rsidRDefault="00504C9D" w:rsidP="00B96473">
      <w:pPr>
        <w:pStyle w:val="ListParagraph"/>
        <w:numPr>
          <w:ilvl w:val="0"/>
          <w:numId w:val="40"/>
        </w:numPr>
        <w:rPr>
          <w:rFonts w:cs="Times New Roman"/>
          <w:sz w:val="24"/>
          <w:szCs w:val="24"/>
        </w:rPr>
      </w:pPr>
      <w:r w:rsidRPr="00B96473">
        <w:rPr>
          <w:rFonts w:eastAsia="Calibri" w:cs="Times New Roman"/>
          <w:b/>
          <w:sz w:val="24"/>
          <w:szCs w:val="24"/>
        </w:rPr>
        <w:lastRenderedPageBreak/>
        <w:t>House Bill 3359</w:t>
      </w:r>
      <w:r w:rsidRPr="00B96473">
        <w:rPr>
          <w:rFonts w:eastAsia="Calibri" w:cs="Times New Roman"/>
          <w:sz w:val="24"/>
          <w:szCs w:val="24"/>
        </w:rPr>
        <w:t xml:space="preserve"> </w:t>
      </w:r>
      <w:r w:rsidRPr="00B96473">
        <w:rPr>
          <w:rFonts w:cs="Times New Roman"/>
          <w:sz w:val="24"/>
          <w:szCs w:val="24"/>
        </w:rPr>
        <w:t xml:space="preserve">House bill 3359 creates a new section regarding Utility Terrain Vehicles (UTV).  </w:t>
      </w:r>
      <w:r w:rsidRPr="00504C9D">
        <w:rPr>
          <w:rFonts w:cs="Times New Roman"/>
          <w:sz w:val="24"/>
          <w:szCs w:val="24"/>
        </w:rPr>
        <w:t>The definition</w:t>
      </w:r>
      <w:r w:rsidR="00B96473">
        <w:rPr>
          <w:rFonts w:cs="Times New Roman"/>
          <w:sz w:val="24"/>
          <w:szCs w:val="24"/>
        </w:rPr>
        <w:t xml:space="preserve"> of UTV</w:t>
      </w:r>
      <w:r w:rsidRPr="00504C9D">
        <w:rPr>
          <w:rFonts w:cs="Times New Roman"/>
          <w:sz w:val="24"/>
          <w:szCs w:val="24"/>
        </w:rPr>
        <w:t xml:space="preserve"> does not include golf carts or vehicles designed to carry individuals with disabilities.</w:t>
      </w:r>
    </w:p>
    <w:p w14:paraId="7AB6334B" w14:textId="77777777" w:rsidR="00B96473" w:rsidRPr="00504C9D" w:rsidRDefault="00B96473" w:rsidP="00504C9D">
      <w:pPr>
        <w:rPr>
          <w:rFonts w:cs="Times New Roman"/>
          <w:sz w:val="24"/>
          <w:szCs w:val="24"/>
        </w:rPr>
      </w:pPr>
    </w:p>
    <w:p w14:paraId="46A60929" w14:textId="608096D7" w:rsidR="00504C9D" w:rsidRDefault="00504C9D" w:rsidP="00B96473">
      <w:pPr>
        <w:ind w:left="360"/>
        <w:rPr>
          <w:rFonts w:cs="Times New Roman"/>
          <w:sz w:val="24"/>
          <w:szCs w:val="24"/>
        </w:rPr>
      </w:pPr>
      <w:r w:rsidRPr="00504C9D">
        <w:rPr>
          <w:rFonts w:cs="Times New Roman"/>
          <w:sz w:val="24"/>
          <w:szCs w:val="24"/>
        </w:rPr>
        <w:t>Before it may be operated on a road, a UTV must be registered in the same fashion as a passenger vehicle.  Owners must obtain a license plate from the Department of Motor Vehicles (DMV) upon presenting proof of ownership and liability insurance.  There is a ten-dollar biennial fee of which DMV may keep $2.00 per plate to cover the costs of production and issuance.  Four dollars is sent to the State Highway Fund, and $4.00 is given to the Transportation Infrastructure Bank.</w:t>
      </w:r>
    </w:p>
    <w:p w14:paraId="40279D6F" w14:textId="77777777" w:rsidR="00B96473" w:rsidRPr="00504C9D" w:rsidRDefault="00B96473" w:rsidP="00B96473">
      <w:pPr>
        <w:ind w:left="360"/>
        <w:rPr>
          <w:rFonts w:cs="Times New Roman"/>
          <w:sz w:val="24"/>
          <w:szCs w:val="24"/>
        </w:rPr>
      </w:pPr>
    </w:p>
    <w:p w14:paraId="6ABA3DBD" w14:textId="4ACF714F" w:rsidR="00504C9D" w:rsidRDefault="00504C9D" w:rsidP="00B96473">
      <w:pPr>
        <w:pStyle w:val="ListParagraph"/>
        <w:ind w:left="360"/>
        <w:rPr>
          <w:rFonts w:cs="Times New Roman"/>
          <w:sz w:val="24"/>
          <w:szCs w:val="24"/>
        </w:rPr>
      </w:pPr>
      <w:r w:rsidRPr="00504C9D">
        <w:rPr>
          <w:rFonts w:cs="Times New Roman"/>
          <w:sz w:val="24"/>
          <w:szCs w:val="24"/>
        </w:rPr>
        <w:t xml:space="preserve">Owners are exempt from paying property taxes on </w:t>
      </w:r>
      <w:proofErr w:type="gramStart"/>
      <w:r w:rsidRPr="00504C9D">
        <w:rPr>
          <w:rFonts w:cs="Times New Roman"/>
          <w:sz w:val="24"/>
          <w:szCs w:val="24"/>
        </w:rPr>
        <w:t>UTVs, but</w:t>
      </w:r>
      <w:proofErr w:type="gramEnd"/>
      <w:r w:rsidRPr="00504C9D">
        <w:rPr>
          <w:rFonts w:cs="Times New Roman"/>
          <w:sz w:val="24"/>
          <w:szCs w:val="24"/>
        </w:rPr>
        <w:t xml:space="preserve"> are subject to road-use fees for vehicles powered by electric, hydrogen, and fuels other than motor fuel. UTVs may be operated on roads for which the speed limit is fifty-five miles an hour or less but may cross at intersections where the road has a speed limit of more than fifty-five miles an hour.  </w:t>
      </w:r>
    </w:p>
    <w:p w14:paraId="133AB034" w14:textId="77777777" w:rsidR="00B96473" w:rsidRPr="00504C9D" w:rsidRDefault="00B96473" w:rsidP="00B96473">
      <w:pPr>
        <w:pStyle w:val="ListParagraph"/>
        <w:ind w:left="360"/>
        <w:rPr>
          <w:rFonts w:cs="Times New Roman"/>
          <w:sz w:val="24"/>
          <w:szCs w:val="24"/>
        </w:rPr>
      </w:pPr>
    </w:p>
    <w:p w14:paraId="05DF5F52" w14:textId="2F5AAF74" w:rsidR="00504C9D" w:rsidRDefault="00504C9D" w:rsidP="00B96473">
      <w:pPr>
        <w:ind w:left="360"/>
        <w:rPr>
          <w:rFonts w:cs="Times New Roman"/>
          <w:sz w:val="24"/>
          <w:szCs w:val="24"/>
        </w:rPr>
      </w:pPr>
      <w:r w:rsidRPr="00504C9D">
        <w:rPr>
          <w:rFonts w:cs="Times New Roman"/>
          <w:sz w:val="24"/>
          <w:szCs w:val="24"/>
        </w:rPr>
        <w:t>UTV operators must be at least sixteen years of age and hold a valid driver’s license. Operators driving on a highway or street must have the license plate and registration, proof of insurance and a driver’s license.  If the UTV operator is sixteen years old and has a conditional driver’s license, the UTV may only be operated during daylight hours. UTVs may not be operated by anyone who holds a beginner’s permit or moped operator’s license. UTVs may not be operated by holders of a temporary alcohol license, route restricted driver’s license, provisional driver’s license, or solely a motorcycle license.</w:t>
      </w:r>
    </w:p>
    <w:p w14:paraId="3BE29FB0" w14:textId="77777777" w:rsidR="00B96473" w:rsidRPr="00504C9D" w:rsidRDefault="00B96473" w:rsidP="00B96473">
      <w:pPr>
        <w:ind w:left="360"/>
        <w:rPr>
          <w:rFonts w:cs="Times New Roman"/>
          <w:sz w:val="24"/>
          <w:szCs w:val="24"/>
        </w:rPr>
      </w:pPr>
    </w:p>
    <w:p w14:paraId="6558703A" w14:textId="77777777" w:rsidR="00504C9D" w:rsidRPr="00504C9D" w:rsidRDefault="00504C9D" w:rsidP="00B96473">
      <w:pPr>
        <w:ind w:left="360"/>
        <w:rPr>
          <w:rFonts w:cs="Times New Roman"/>
          <w:sz w:val="24"/>
          <w:szCs w:val="24"/>
        </w:rPr>
      </w:pPr>
      <w:r w:rsidRPr="00504C9D">
        <w:rPr>
          <w:rFonts w:cs="Times New Roman"/>
          <w:sz w:val="24"/>
          <w:szCs w:val="24"/>
        </w:rPr>
        <w:t>Children under eight years of age may not be a passenger in a UTV while it is being operated on a road. Drivers and passengers under the age of eighteen must wear the protective gear described in state law.  UTVs must have a Type 2 seat belt assembly at each seating position and have operable headlights, brake lights, taillights, and turn signals.  Drivers and passengers of UTVs must wear a fastened safety belt.  Failure to do so may result in a fine pursuant to existing state law.</w:t>
      </w:r>
    </w:p>
    <w:p w14:paraId="0CD65E0E" w14:textId="77777777" w:rsidR="00504C9D" w:rsidRPr="00504C9D" w:rsidRDefault="00504C9D" w:rsidP="00B96473">
      <w:pPr>
        <w:ind w:left="360"/>
        <w:rPr>
          <w:rFonts w:cs="Times New Roman"/>
          <w:sz w:val="24"/>
          <w:szCs w:val="24"/>
        </w:rPr>
      </w:pPr>
      <w:r w:rsidRPr="00504C9D">
        <w:rPr>
          <w:rFonts w:cs="Times New Roman"/>
          <w:sz w:val="24"/>
          <w:szCs w:val="24"/>
        </w:rPr>
        <w:t>DMV may not register or renew the registration of a UTV unless a certificate of title has been issued to the owner or an application has been delivered to the department.  Certificates issued under this subsection must carry the brand ‘off road use only’ to designate that a vehicle’s Manufacturer Certificate of Origin is not manufactured for use on public roads.</w:t>
      </w:r>
    </w:p>
    <w:p w14:paraId="7C3781FE" w14:textId="77777777" w:rsidR="00533B19" w:rsidRDefault="00533B19" w:rsidP="00B96473">
      <w:pPr>
        <w:spacing w:after="200" w:line="276" w:lineRule="auto"/>
        <w:ind w:left="360"/>
        <w:jc w:val="both"/>
        <w:rPr>
          <w:rFonts w:eastAsia="Calibri" w:cs="Times New Roman"/>
          <w:b/>
          <w:i/>
          <w:sz w:val="24"/>
          <w:szCs w:val="24"/>
        </w:rPr>
      </w:pPr>
    </w:p>
    <w:p w14:paraId="06009BF4" w14:textId="509EEEAF" w:rsidR="00504C9D" w:rsidRPr="00B709E9" w:rsidRDefault="00504C9D" w:rsidP="00B96473">
      <w:pPr>
        <w:spacing w:after="200" w:line="276" w:lineRule="auto"/>
        <w:ind w:left="360"/>
        <w:jc w:val="both"/>
        <w:rPr>
          <w:rFonts w:eastAsia="Calibri" w:cs="Times New Roman"/>
          <w:b/>
          <w:i/>
          <w:sz w:val="24"/>
          <w:szCs w:val="24"/>
        </w:rPr>
      </w:pPr>
      <w:r w:rsidRPr="00B709E9">
        <w:rPr>
          <w:rFonts w:eastAsia="Calibri" w:cs="Times New Roman"/>
          <w:b/>
          <w:i/>
          <w:sz w:val="24"/>
          <w:szCs w:val="24"/>
        </w:rPr>
        <w:t>(H. 3</w:t>
      </w:r>
      <w:r>
        <w:rPr>
          <w:rFonts w:eastAsia="Calibri" w:cs="Times New Roman"/>
          <w:b/>
          <w:i/>
          <w:sz w:val="24"/>
          <w:szCs w:val="24"/>
        </w:rPr>
        <w:t>35</w:t>
      </w:r>
      <w:r w:rsidR="00B96473">
        <w:rPr>
          <w:rFonts w:eastAsia="Calibri" w:cs="Times New Roman"/>
          <w:b/>
          <w:i/>
          <w:sz w:val="24"/>
          <w:szCs w:val="24"/>
        </w:rPr>
        <w:t>9</w:t>
      </w:r>
      <w:r w:rsidRPr="00B709E9">
        <w:rPr>
          <w:rFonts w:eastAsia="Calibri" w:cs="Times New Roman"/>
          <w:b/>
          <w:i/>
          <w:sz w:val="24"/>
          <w:szCs w:val="24"/>
        </w:rPr>
        <w:t xml:space="preserve"> was adopted by the House on </w:t>
      </w:r>
      <w:r>
        <w:rPr>
          <w:rFonts w:eastAsia="Calibri" w:cs="Times New Roman"/>
          <w:b/>
          <w:i/>
          <w:sz w:val="24"/>
          <w:szCs w:val="24"/>
        </w:rPr>
        <w:t>M</w:t>
      </w:r>
      <w:r w:rsidR="00B96473">
        <w:rPr>
          <w:rFonts w:eastAsia="Calibri" w:cs="Times New Roman"/>
          <w:b/>
          <w:i/>
          <w:sz w:val="24"/>
          <w:szCs w:val="24"/>
        </w:rPr>
        <w:t>arch 30</w:t>
      </w:r>
      <w:r w:rsidRPr="00B709E9">
        <w:rPr>
          <w:rFonts w:eastAsia="Calibri" w:cs="Times New Roman"/>
          <w:b/>
          <w:i/>
          <w:sz w:val="24"/>
          <w:szCs w:val="24"/>
        </w:rPr>
        <w:t>, 202</w:t>
      </w:r>
      <w:r>
        <w:rPr>
          <w:rFonts w:eastAsia="Calibri" w:cs="Times New Roman"/>
          <w:b/>
          <w:i/>
          <w:sz w:val="24"/>
          <w:szCs w:val="24"/>
        </w:rPr>
        <w:t>3</w:t>
      </w:r>
      <w:r w:rsidRPr="00B709E9">
        <w:rPr>
          <w:rFonts w:eastAsia="Calibri" w:cs="Times New Roman"/>
          <w:b/>
          <w:i/>
          <w:sz w:val="24"/>
          <w:szCs w:val="24"/>
        </w:rPr>
        <w:t xml:space="preserve">, and referred to the </w:t>
      </w:r>
      <w:r>
        <w:rPr>
          <w:rFonts w:eastAsia="Calibri" w:cs="Times New Roman"/>
          <w:b/>
          <w:i/>
          <w:sz w:val="24"/>
          <w:szCs w:val="24"/>
        </w:rPr>
        <w:t>Senate Transportation Committee</w:t>
      </w:r>
      <w:r w:rsidRPr="00B709E9">
        <w:rPr>
          <w:rFonts w:eastAsia="Calibri" w:cs="Times New Roman"/>
          <w:b/>
          <w:i/>
          <w:sz w:val="24"/>
          <w:szCs w:val="24"/>
        </w:rPr>
        <w:t>.)</w:t>
      </w:r>
    </w:p>
    <w:p w14:paraId="5520CC4C" w14:textId="77777777" w:rsidR="00EE0409" w:rsidRPr="00EE0409" w:rsidRDefault="00B96473" w:rsidP="00B96473">
      <w:pPr>
        <w:pStyle w:val="ListParagraph"/>
        <w:numPr>
          <w:ilvl w:val="0"/>
          <w:numId w:val="7"/>
        </w:numPr>
        <w:jc w:val="both"/>
        <w:rPr>
          <w:sz w:val="24"/>
          <w:szCs w:val="24"/>
        </w:rPr>
      </w:pPr>
      <w:r w:rsidRPr="00B709E9">
        <w:rPr>
          <w:rFonts w:eastAsia="Calibri" w:cs="Times New Roman"/>
          <w:b/>
          <w:sz w:val="24"/>
          <w:szCs w:val="24"/>
        </w:rPr>
        <w:t>House Bill 3</w:t>
      </w:r>
      <w:r>
        <w:rPr>
          <w:rFonts w:eastAsia="Calibri" w:cs="Times New Roman"/>
          <w:b/>
          <w:sz w:val="24"/>
          <w:szCs w:val="24"/>
        </w:rPr>
        <w:t>414</w:t>
      </w:r>
      <w:r w:rsidRPr="00B709E9">
        <w:rPr>
          <w:rFonts w:eastAsia="Calibri" w:cs="Times New Roman"/>
          <w:sz w:val="24"/>
          <w:szCs w:val="24"/>
        </w:rPr>
        <w:t xml:space="preserve"> </w:t>
      </w:r>
      <w:r w:rsidRPr="00895E45">
        <w:rPr>
          <w:rFonts w:eastAsia="Calibri" w:cs="Times New Roman"/>
          <w:bCs/>
          <w:sz w:val="24"/>
          <w:szCs w:val="24"/>
        </w:rPr>
        <w:t xml:space="preserve">prohibits vehicles from being “squatted.”  </w:t>
      </w:r>
    </w:p>
    <w:p w14:paraId="4ECEF182" w14:textId="77777777" w:rsidR="00EE0409" w:rsidRDefault="00EE0409" w:rsidP="00EE0409">
      <w:pPr>
        <w:pStyle w:val="ListParagraph"/>
        <w:ind w:left="360"/>
        <w:jc w:val="both"/>
        <w:rPr>
          <w:rFonts w:eastAsia="Calibri" w:cs="Times New Roman"/>
          <w:b/>
          <w:sz w:val="24"/>
          <w:szCs w:val="24"/>
        </w:rPr>
      </w:pPr>
    </w:p>
    <w:p w14:paraId="5C159331" w14:textId="5EB9D60C" w:rsidR="00B96473" w:rsidRPr="00EE0409" w:rsidRDefault="00EE0409" w:rsidP="00EE0409">
      <w:pPr>
        <w:pStyle w:val="ListParagraph"/>
        <w:ind w:left="360"/>
        <w:jc w:val="both"/>
        <w:rPr>
          <w:sz w:val="24"/>
          <w:szCs w:val="24"/>
        </w:rPr>
      </w:pPr>
      <w:r w:rsidRPr="00EE0409">
        <w:rPr>
          <w:rFonts w:eastAsia="Calibri" w:cs="Times New Roman"/>
          <w:b/>
          <w:sz w:val="24"/>
          <w:szCs w:val="24"/>
        </w:rPr>
        <w:t>[Please see the summary for Senate bill 363 which is a companion bill to H. 3414.]</w:t>
      </w:r>
    </w:p>
    <w:p w14:paraId="2CC2E618" w14:textId="77777777" w:rsidR="00EE0409" w:rsidRDefault="00EE0409" w:rsidP="00EE0409">
      <w:pPr>
        <w:spacing w:after="200" w:line="276" w:lineRule="auto"/>
        <w:jc w:val="both"/>
        <w:rPr>
          <w:rFonts w:eastAsia="Calibri" w:cs="Times New Roman"/>
          <w:bCs/>
          <w:iCs/>
          <w:sz w:val="24"/>
          <w:szCs w:val="24"/>
        </w:rPr>
      </w:pPr>
    </w:p>
    <w:p w14:paraId="5D0CA5A3" w14:textId="067760A2" w:rsidR="00B96473" w:rsidRDefault="00B96473" w:rsidP="00EE0409">
      <w:pPr>
        <w:spacing w:after="200" w:line="276" w:lineRule="auto"/>
        <w:ind w:left="360"/>
        <w:jc w:val="both"/>
        <w:rPr>
          <w:rFonts w:eastAsia="Calibri" w:cs="Times New Roman"/>
          <w:b/>
          <w:i/>
          <w:sz w:val="24"/>
          <w:szCs w:val="24"/>
        </w:rPr>
      </w:pPr>
      <w:r w:rsidRPr="00B709E9">
        <w:rPr>
          <w:rFonts w:eastAsia="Calibri" w:cs="Times New Roman"/>
          <w:b/>
          <w:i/>
          <w:sz w:val="24"/>
          <w:szCs w:val="24"/>
        </w:rPr>
        <w:t>(H. 3</w:t>
      </w:r>
      <w:r w:rsidR="00EE0409">
        <w:rPr>
          <w:rFonts w:eastAsia="Calibri" w:cs="Times New Roman"/>
          <w:b/>
          <w:i/>
          <w:sz w:val="24"/>
          <w:szCs w:val="24"/>
        </w:rPr>
        <w:t>414</w:t>
      </w:r>
      <w:r w:rsidRPr="00B709E9">
        <w:rPr>
          <w:rFonts w:eastAsia="Calibri" w:cs="Times New Roman"/>
          <w:b/>
          <w:i/>
          <w:sz w:val="24"/>
          <w:szCs w:val="24"/>
        </w:rPr>
        <w:t xml:space="preserve"> was adopted by the House on </w:t>
      </w:r>
      <w:r w:rsidR="00EE0409">
        <w:rPr>
          <w:rFonts w:eastAsia="Calibri" w:cs="Times New Roman"/>
          <w:b/>
          <w:i/>
          <w:sz w:val="24"/>
          <w:szCs w:val="24"/>
        </w:rPr>
        <w:t>April 5</w:t>
      </w:r>
      <w:r w:rsidRPr="00B709E9">
        <w:rPr>
          <w:rFonts w:eastAsia="Calibri" w:cs="Times New Roman"/>
          <w:b/>
          <w:i/>
          <w:sz w:val="24"/>
          <w:szCs w:val="24"/>
        </w:rPr>
        <w:t>, 202</w:t>
      </w:r>
      <w:r>
        <w:rPr>
          <w:rFonts w:eastAsia="Calibri" w:cs="Times New Roman"/>
          <w:b/>
          <w:i/>
          <w:sz w:val="24"/>
          <w:szCs w:val="24"/>
        </w:rPr>
        <w:t>3</w:t>
      </w:r>
      <w:r w:rsidRPr="00B709E9">
        <w:rPr>
          <w:rFonts w:eastAsia="Calibri" w:cs="Times New Roman"/>
          <w:b/>
          <w:i/>
          <w:sz w:val="24"/>
          <w:szCs w:val="24"/>
        </w:rPr>
        <w:t xml:space="preserve">, and referred to the </w:t>
      </w:r>
      <w:r>
        <w:rPr>
          <w:rFonts w:eastAsia="Calibri" w:cs="Times New Roman"/>
          <w:b/>
          <w:i/>
          <w:sz w:val="24"/>
          <w:szCs w:val="24"/>
        </w:rPr>
        <w:t>Senate Transportation Committee</w:t>
      </w:r>
      <w:r w:rsidRPr="00B709E9">
        <w:rPr>
          <w:rFonts w:eastAsia="Calibri" w:cs="Times New Roman"/>
          <w:b/>
          <w:i/>
          <w:sz w:val="24"/>
          <w:szCs w:val="24"/>
        </w:rPr>
        <w:t>.)</w:t>
      </w:r>
    </w:p>
    <w:p w14:paraId="756FC257" w14:textId="0763C9EE" w:rsidR="00EE0409" w:rsidRPr="00EE0409" w:rsidRDefault="00EE0409" w:rsidP="00F9616F">
      <w:pPr>
        <w:pStyle w:val="ListParagraph"/>
        <w:numPr>
          <w:ilvl w:val="0"/>
          <w:numId w:val="7"/>
        </w:numPr>
        <w:spacing w:after="200" w:line="276" w:lineRule="auto"/>
        <w:jc w:val="both"/>
        <w:rPr>
          <w:rFonts w:eastAsia="Calibri" w:cs="Times New Roman"/>
          <w:bCs/>
          <w:iCs/>
          <w:sz w:val="24"/>
          <w:szCs w:val="24"/>
        </w:rPr>
      </w:pPr>
      <w:r w:rsidRPr="00EE0409">
        <w:rPr>
          <w:rFonts w:eastAsia="Calibri" w:cs="Times New Roman"/>
          <w:b/>
          <w:sz w:val="24"/>
          <w:szCs w:val="24"/>
        </w:rPr>
        <w:t>House Bill 3518</w:t>
      </w:r>
      <w:r w:rsidRPr="00EE0409">
        <w:rPr>
          <w:rFonts w:eastAsia="Calibri" w:cs="Times New Roman"/>
          <w:sz w:val="24"/>
          <w:szCs w:val="24"/>
        </w:rPr>
        <w:t xml:space="preserve"> </w:t>
      </w:r>
      <w:r>
        <w:rPr>
          <w:rFonts w:eastAsia="Calibri" w:cs="Times New Roman"/>
          <w:sz w:val="24"/>
          <w:szCs w:val="24"/>
        </w:rPr>
        <w:t xml:space="preserve">regards </w:t>
      </w:r>
      <w:r>
        <w:rPr>
          <w:rFonts w:cs="Times New Roman"/>
        </w:rPr>
        <w:t>driver financial responsibility.</w:t>
      </w:r>
    </w:p>
    <w:p w14:paraId="46E67AED" w14:textId="1306A5E6" w:rsidR="00EE0409" w:rsidRDefault="00EE0409" w:rsidP="00EE0409">
      <w:pPr>
        <w:pStyle w:val="ListParagraph"/>
        <w:spacing w:after="200" w:line="276" w:lineRule="auto"/>
        <w:ind w:left="360"/>
        <w:rPr>
          <w:rFonts w:eastAsia="Calibri" w:cs="Times New Roman"/>
          <w:b/>
          <w:sz w:val="24"/>
          <w:szCs w:val="24"/>
        </w:rPr>
      </w:pPr>
    </w:p>
    <w:p w14:paraId="01172D31" w14:textId="7B1D9662" w:rsidR="00EE0409" w:rsidRPr="00EE0409" w:rsidRDefault="00EE0409" w:rsidP="00EE0409">
      <w:pPr>
        <w:pStyle w:val="ListParagraph"/>
        <w:spacing w:after="200" w:line="276" w:lineRule="auto"/>
        <w:ind w:left="360"/>
        <w:jc w:val="both"/>
        <w:rPr>
          <w:rFonts w:eastAsia="Calibri" w:cs="Times New Roman"/>
          <w:b/>
          <w:sz w:val="24"/>
          <w:szCs w:val="24"/>
        </w:rPr>
      </w:pPr>
      <w:r w:rsidRPr="00EE0409">
        <w:rPr>
          <w:rFonts w:eastAsia="Calibri" w:cs="Times New Roman"/>
          <w:b/>
          <w:sz w:val="24"/>
          <w:szCs w:val="24"/>
        </w:rPr>
        <w:t xml:space="preserve">[Please see the summary for S. 549.  The provisions of </w:t>
      </w:r>
      <w:r w:rsidR="00821D04">
        <w:rPr>
          <w:rFonts w:eastAsia="Calibri" w:cs="Times New Roman"/>
          <w:b/>
          <w:sz w:val="24"/>
          <w:szCs w:val="24"/>
        </w:rPr>
        <w:t>H. 3518</w:t>
      </w:r>
      <w:r w:rsidRPr="00EE0409">
        <w:rPr>
          <w:rFonts w:eastAsia="Calibri" w:cs="Times New Roman"/>
          <w:b/>
          <w:sz w:val="24"/>
          <w:szCs w:val="24"/>
        </w:rPr>
        <w:t xml:space="preserve"> were inserted into S. 549.] </w:t>
      </w:r>
    </w:p>
    <w:p w14:paraId="5B7F7D96" w14:textId="271E5F3F" w:rsidR="00EE0409" w:rsidRDefault="00EE0409" w:rsidP="00EE0409">
      <w:pPr>
        <w:spacing w:after="200" w:line="276" w:lineRule="auto"/>
        <w:ind w:left="360"/>
        <w:jc w:val="both"/>
        <w:rPr>
          <w:rFonts w:eastAsia="Calibri" w:cs="Times New Roman"/>
          <w:b/>
          <w:i/>
          <w:sz w:val="24"/>
          <w:szCs w:val="24"/>
        </w:rPr>
      </w:pPr>
      <w:r w:rsidRPr="00B709E9">
        <w:rPr>
          <w:rFonts w:eastAsia="Calibri" w:cs="Times New Roman"/>
          <w:b/>
          <w:i/>
          <w:sz w:val="24"/>
          <w:szCs w:val="24"/>
        </w:rPr>
        <w:t>(H. 3</w:t>
      </w:r>
      <w:r>
        <w:rPr>
          <w:rFonts w:eastAsia="Calibri" w:cs="Times New Roman"/>
          <w:b/>
          <w:i/>
          <w:sz w:val="24"/>
          <w:szCs w:val="24"/>
        </w:rPr>
        <w:t xml:space="preserve">518 </w:t>
      </w:r>
      <w:r w:rsidRPr="00B709E9">
        <w:rPr>
          <w:rFonts w:eastAsia="Calibri" w:cs="Times New Roman"/>
          <w:b/>
          <w:i/>
          <w:sz w:val="24"/>
          <w:szCs w:val="24"/>
        </w:rPr>
        <w:t xml:space="preserve">was adopted by the House on </w:t>
      </w:r>
      <w:r>
        <w:rPr>
          <w:rFonts w:eastAsia="Calibri" w:cs="Times New Roman"/>
          <w:b/>
          <w:i/>
          <w:sz w:val="24"/>
          <w:szCs w:val="24"/>
        </w:rPr>
        <w:t>February 8, 2023.  The bill is on the Senate calendar.</w:t>
      </w:r>
      <w:r w:rsidRPr="00B709E9">
        <w:rPr>
          <w:rFonts w:eastAsia="Calibri" w:cs="Times New Roman"/>
          <w:b/>
          <w:i/>
          <w:sz w:val="24"/>
          <w:szCs w:val="24"/>
        </w:rPr>
        <w:t>)</w:t>
      </w:r>
    </w:p>
    <w:p w14:paraId="5338C808" w14:textId="77777777" w:rsidR="00DD048F" w:rsidRPr="00DD048F" w:rsidRDefault="00DD048F" w:rsidP="00C57ABB">
      <w:pPr>
        <w:spacing w:after="200" w:line="276" w:lineRule="auto"/>
        <w:ind w:left="360"/>
        <w:rPr>
          <w:rFonts w:eastAsia="Calibri" w:cs="Times New Roman"/>
          <w:bCs/>
          <w:iCs/>
          <w:sz w:val="24"/>
          <w:szCs w:val="24"/>
        </w:rPr>
      </w:pPr>
    </w:p>
    <w:p w14:paraId="09D0FC4F" w14:textId="3D5CAA6F" w:rsidR="00EE0409" w:rsidRPr="00DD048F" w:rsidRDefault="00EE0409" w:rsidP="00DD048F">
      <w:pPr>
        <w:pStyle w:val="ListParagraph"/>
        <w:numPr>
          <w:ilvl w:val="0"/>
          <w:numId w:val="7"/>
        </w:numPr>
        <w:rPr>
          <w:rFonts w:cs="Times New Roman"/>
          <w:sz w:val="24"/>
          <w:szCs w:val="24"/>
        </w:rPr>
      </w:pPr>
      <w:r w:rsidRPr="00DD048F">
        <w:rPr>
          <w:rFonts w:eastAsia="Calibri" w:cs="Times New Roman"/>
          <w:b/>
          <w:sz w:val="24"/>
          <w:szCs w:val="24"/>
        </w:rPr>
        <w:lastRenderedPageBreak/>
        <w:t xml:space="preserve">House Bill 3732 </w:t>
      </w:r>
      <w:r w:rsidR="00DD048F">
        <w:rPr>
          <w:rFonts w:cs="Times New Roman"/>
          <w:sz w:val="24"/>
          <w:szCs w:val="24"/>
        </w:rPr>
        <w:t>expresses</w:t>
      </w:r>
      <w:r w:rsidRPr="00DD048F">
        <w:rPr>
          <w:rFonts w:cs="Times New Roman"/>
          <w:sz w:val="24"/>
          <w:szCs w:val="24"/>
        </w:rPr>
        <w:t xml:space="preserve"> that “the restoration, exhibition, showing, and enjoyment of classic and antique motor vehicles is the official family friendly pastime of the State.”</w:t>
      </w:r>
    </w:p>
    <w:p w14:paraId="21BBB535" w14:textId="77777777" w:rsidR="00DD048F" w:rsidRDefault="00DD048F" w:rsidP="00DD048F">
      <w:pPr>
        <w:spacing w:after="200" w:line="276" w:lineRule="auto"/>
        <w:ind w:left="360"/>
        <w:rPr>
          <w:rFonts w:eastAsia="Calibri" w:cs="Times New Roman"/>
          <w:b/>
          <w:i/>
          <w:sz w:val="24"/>
          <w:szCs w:val="24"/>
        </w:rPr>
      </w:pPr>
    </w:p>
    <w:p w14:paraId="316C216A" w14:textId="02F590AB" w:rsidR="00EE0409" w:rsidRPr="00EE0409" w:rsidRDefault="00EE0409" w:rsidP="00DD048F">
      <w:pPr>
        <w:spacing w:after="200" w:line="276" w:lineRule="auto"/>
        <w:ind w:left="360"/>
        <w:rPr>
          <w:rFonts w:eastAsia="Calibri" w:cs="Times New Roman"/>
          <w:b/>
          <w:i/>
          <w:sz w:val="24"/>
          <w:szCs w:val="24"/>
        </w:rPr>
      </w:pPr>
      <w:r w:rsidRPr="00EE0409">
        <w:rPr>
          <w:rFonts w:eastAsia="Calibri" w:cs="Times New Roman"/>
          <w:b/>
          <w:i/>
          <w:sz w:val="24"/>
          <w:szCs w:val="24"/>
        </w:rPr>
        <w:t>(H. 3</w:t>
      </w:r>
      <w:r w:rsidR="00DD048F">
        <w:rPr>
          <w:rFonts w:eastAsia="Calibri" w:cs="Times New Roman"/>
          <w:b/>
          <w:i/>
          <w:sz w:val="24"/>
          <w:szCs w:val="24"/>
        </w:rPr>
        <w:t>732</w:t>
      </w:r>
      <w:r w:rsidRPr="00EE0409">
        <w:rPr>
          <w:rFonts w:eastAsia="Calibri" w:cs="Times New Roman"/>
          <w:b/>
          <w:i/>
          <w:sz w:val="24"/>
          <w:szCs w:val="24"/>
        </w:rPr>
        <w:t xml:space="preserve"> was adopted by the House on </w:t>
      </w:r>
      <w:r w:rsidR="00DD048F">
        <w:rPr>
          <w:rFonts w:eastAsia="Calibri" w:cs="Times New Roman"/>
          <w:b/>
          <w:i/>
          <w:sz w:val="24"/>
          <w:szCs w:val="24"/>
        </w:rPr>
        <w:t>April 28</w:t>
      </w:r>
      <w:r w:rsidRPr="00EE0409">
        <w:rPr>
          <w:rFonts w:eastAsia="Calibri" w:cs="Times New Roman"/>
          <w:b/>
          <w:i/>
          <w:sz w:val="24"/>
          <w:szCs w:val="24"/>
        </w:rPr>
        <w:t xml:space="preserve">, 2023, and referred to the Senate </w:t>
      </w:r>
      <w:r w:rsidR="00DD048F">
        <w:rPr>
          <w:rFonts w:eastAsia="Calibri" w:cs="Times New Roman"/>
          <w:b/>
          <w:i/>
          <w:sz w:val="24"/>
          <w:szCs w:val="24"/>
        </w:rPr>
        <w:t>Judiciary</w:t>
      </w:r>
      <w:r w:rsidRPr="00EE0409">
        <w:rPr>
          <w:rFonts w:eastAsia="Calibri" w:cs="Times New Roman"/>
          <w:b/>
          <w:i/>
          <w:sz w:val="24"/>
          <w:szCs w:val="24"/>
        </w:rPr>
        <w:t xml:space="preserve"> Committee.)</w:t>
      </w:r>
    </w:p>
    <w:p w14:paraId="04A744A0" w14:textId="123B8EA3" w:rsidR="00613160" w:rsidRDefault="00613160" w:rsidP="00613160">
      <w:pPr>
        <w:rPr>
          <w:rFonts w:cs="Times New Roman"/>
          <w:sz w:val="24"/>
          <w:szCs w:val="24"/>
          <w:u w:val="single"/>
        </w:rPr>
      </w:pPr>
    </w:p>
    <w:p w14:paraId="0B5A513E" w14:textId="77777777" w:rsidR="00B96473" w:rsidRDefault="00B96473" w:rsidP="00613160">
      <w:pPr>
        <w:rPr>
          <w:rFonts w:cs="Times New Roman"/>
          <w:sz w:val="24"/>
          <w:szCs w:val="24"/>
          <w:u w:val="single"/>
        </w:rPr>
      </w:pPr>
    </w:p>
    <w:p w14:paraId="0CEA1A9B" w14:textId="77777777" w:rsidR="00613160" w:rsidRPr="003F59E7" w:rsidRDefault="00613160" w:rsidP="00613160">
      <w:pPr>
        <w:spacing w:after="200" w:line="276" w:lineRule="auto"/>
        <w:rPr>
          <w:rFonts w:eastAsia="Calibri" w:cs="Times New Roman"/>
          <w:b/>
          <w:caps/>
          <w:sz w:val="32"/>
          <w:szCs w:val="32"/>
          <w:u w:val="single"/>
        </w:rPr>
      </w:pPr>
      <w:r w:rsidRPr="003F59E7">
        <w:rPr>
          <w:rFonts w:eastAsia="Calibri" w:cs="Times New Roman"/>
          <w:b/>
          <w:caps/>
          <w:sz w:val="32"/>
          <w:szCs w:val="32"/>
          <w:u w:val="single"/>
        </w:rPr>
        <w:t>Transportation</w:t>
      </w:r>
    </w:p>
    <w:p w14:paraId="0C0B7046" w14:textId="77777777" w:rsidR="00613160" w:rsidRDefault="00613160" w:rsidP="00613160">
      <w:pPr>
        <w:jc w:val="center"/>
        <w:rPr>
          <w:sz w:val="24"/>
          <w:szCs w:val="24"/>
          <w:u w:val="single"/>
        </w:rPr>
      </w:pPr>
    </w:p>
    <w:p w14:paraId="2DDED73E" w14:textId="77777777" w:rsidR="00613160" w:rsidRDefault="00613160" w:rsidP="00613160">
      <w:pPr>
        <w:jc w:val="center"/>
        <w:rPr>
          <w:sz w:val="24"/>
          <w:szCs w:val="24"/>
          <w:u w:val="single"/>
        </w:rPr>
      </w:pPr>
      <w:r>
        <w:rPr>
          <w:sz w:val="24"/>
          <w:szCs w:val="24"/>
          <w:u w:val="single"/>
        </w:rPr>
        <w:t>BILLS ADOPTED BY THE GENERAL ASSEMBLY</w:t>
      </w:r>
    </w:p>
    <w:p w14:paraId="58F426A3" w14:textId="77777777" w:rsidR="00613160" w:rsidRDefault="00613160" w:rsidP="00613160">
      <w:pPr>
        <w:pStyle w:val="ListParagraph"/>
        <w:rPr>
          <w:rFonts w:eastAsia="Calibri" w:cs="Times New Roman"/>
          <w:sz w:val="24"/>
          <w:szCs w:val="24"/>
        </w:rPr>
      </w:pPr>
    </w:p>
    <w:p w14:paraId="297B0F23" w14:textId="343230C3" w:rsidR="00613160" w:rsidRPr="00613160" w:rsidRDefault="00613160" w:rsidP="00613160">
      <w:pPr>
        <w:pStyle w:val="ListParagraph"/>
        <w:numPr>
          <w:ilvl w:val="0"/>
          <w:numId w:val="29"/>
        </w:numPr>
        <w:ind w:left="720"/>
        <w:rPr>
          <w:sz w:val="24"/>
          <w:szCs w:val="24"/>
        </w:rPr>
      </w:pPr>
      <w:r w:rsidRPr="00613160">
        <w:rPr>
          <w:b/>
          <w:bCs/>
          <w:sz w:val="24"/>
          <w:szCs w:val="24"/>
        </w:rPr>
        <w:t>Act 2 of 2023 (Senate bill 361)</w:t>
      </w:r>
      <w:r w:rsidRPr="00613160">
        <w:rPr>
          <w:sz w:val="24"/>
          <w:szCs w:val="24"/>
        </w:rPr>
        <w:t xml:space="preserve"> deals with contract extensions that allow the South Carolina Department of Transportation (SCDOT) to </w:t>
      </w:r>
      <w:r w:rsidR="00821D04">
        <w:rPr>
          <w:sz w:val="24"/>
          <w:szCs w:val="24"/>
        </w:rPr>
        <w:t>expand the</w:t>
      </w:r>
      <w:r w:rsidRPr="00613160">
        <w:rPr>
          <w:sz w:val="24"/>
          <w:szCs w:val="24"/>
        </w:rPr>
        <w:t xml:space="preserve"> scope of work </w:t>
      </w:r>
      <w:r w:rsidR="00821D04">
        <w:rPr>
          <w:sz w:val="24"/>
          <w:szCs w:val="24"/>
        </w:rPr>
        <w:t>of</w:t>
      </w:r>
      <w:r w:rsidRPr="00613160">
        <w:rPr>
          <w:sz w:val="24"/>
          <w:szCs w:val="24"/>
        </w:rPr>
        <w:t xml:space="preserve"> an already existing road construction contract </w:t>
      </w:r>
      <w:r w:rsidR="00821D04">
        <w:rPr>
          <w:sz w:val="24"/>
          <w:szCs w:val="24"/>
        </w:rPr>
        <w:t xml:space="preserve">if the </w:t>
      </w:r>
      <w:r w:rsidR="001740EA">
        <w:rPr>
          <w:sz w:val="24"/>
          <w:szCs w:val="24"/>
        </w:rPr>
        <w:t xml:space="preserve">work </w:t>
      </w:r>
      <w:r w:rsidR="00821D04">
        <w:rPr>
          <w:sz w:val="24"/>
          <w:szCs w:val="24"/>
        </w:rPr>
        <w:t xml:space="preserve">is </w:t>
      </w:r>
      <w:r w:rsidR="001740EA">
        <w:rPr>
          <w:sz w:val="24"/>
          <w:szCs w:val="24"/>
        </w:rPr>
        <w:t>being</w:t>
      </w:r>
      <w:r w:rsidRPr="00613160">
        <w:rPr>
          <w:sz w:val="24"/>
          <w:szCs w:val="24"/>
        </w:rPr>
        <w:t xml:space="preserve"> done in the same vicinity. All extensions </w:t>
      </w:r>
      <w:r w:rsidR="001740EA">
        <w:rPr>
          <w:sz w:val="24"/>
          <w:szCs w:val="24"/>
        </w:rPr>
        <w:t>must</w:t>
      </w:r>
      <w:r w:rsidRPr="00613160">
        <w:rPr>
          <w:sz w:val="24"/>
          <w:szCs w:val="24"/>
        </w:rPr>
        <w:t xml:space="preserve"> be executed by the Secretary </w:t>
      </w:r>
      <w:r w:rsidR="0062788D" w:rsidRPr="00613160">
        <w:rPr>
          <w:sz w:val="24"/>
          <w:szCs w:val="24"/>
        </w:rPr>
        <w:t>of the</w:t>
      </w:r>
      <w:r w:rsidR="0062788D">
        <w:rPr>
          <w:sz w:val="24"/>
          <w:szCs w:val="24"/>
        </w:rPr>
        <w:t xml:space="preserve"> </w:t>
      </w:r>
      <w:r w:rsidRPr="00613160">
        <w:rPr>
          <w:sz w:val="24"/>
          <w:szCs w:val="24"/>
        </w:rPr>
        <w:t xml:space="preserve">SCDOT and </w:t>
      </w:r>
      <w:r w:rsidR="001740EA">
        <w:rPr>
          <w:sz w:val="24"/>
          <w:szCs w:val="24"/>
        </w:rPr>
        <w:t>ratified by the</w:t>
      </w:r>
      <w:r w:rsidRPr="00613160">
        <w:rPr>
          <w:sz w:val="24"/>
          <w:szCs w:val="24"/>
        </w:rPr>
        <w:t xml:space="preserve"> SCDOT Commission to ensure transparency in the contract extension process. </w:t>
      </w:r>
    </w:p>
    <w:p w14:paraId="710075F9" w14:textId="77777777" w:rsidR="00613160" w:rsidRPr="00613160" w:rsidRDefault="00613160" w:rsidP="00613160">
      <w:pPr>
        <w:pStyle w:val="ListParagraph"/>
        <w:rPr>
          <w:sz w:val="24"/>
          <w:szCs w:val="24"/>
        </w:rPr>
      </w:pPr>
    </w:p>
    <w:p w14:paraId="39BABD81" w14:textId="6A08C845" w:rsidR="00613160" w:rsidRPr="00613160" w:rsidRDefault="00613160" w:rsidP="00613160">
      <w:pPr>
        <w:pStyle w:val="ListParagraph"/>
        <w:rPr>
          <w:b/>
          <w:bCs/>
          <w:i/>
          <w:iCs/>
          <w:sz w:val="24"/>
          <w:szCs w:val="24"/>
        </w:rPr>
      </w:pPr>
      <w:r w:rsidRPr="00613160">
        <w:rPr>
          <w:b/>
          <w:bCs/>
          <w:i/>
          <w:iCs/>
          <w:sz w:val="24"/>
          <w:szCs w:val="24"/>
        </w:rPr>
        <w:t>(S.</w:t>
      </w:r>
      <w:r w:rsidR="001740EA">
        <w:rPr>
          <w:b/>
          <w:bCs/>
          <w:i/>
          <w:iCs/>
          <w:sz w:val="24"/>
          <w:szCs w:val="24"/>
        </w:rPr>
        <w:t xml:space="preserve"> </w:t>
      </w:r>
      <w:r w:rsidRPr="00613160">
        <w:rPr>
          <w:b/>
          <w:bCs/>
          <w:i/>
          <w:iCs/>
          <w:sz w:val="24"/>
          <w:szCs w:val="24"/>
        </w:rPr>
        <w:t>361 was signed by the Governor on March 20, 2023.)</w:t>
      </w:r>
    </w:p>
    <w:p w14:paraId="4C04D501" w14:textId="77777777" w:rsidR="00613160" w:rsidRDefault="00613160" w:rsidP="00613160"/>
    <w:p w14:paraId="0BB7C25D" w14:textId="77777777" w:rsidR="00DD048F" w:rsidRDefault="00DD048F" w:rsidP="00613160">
      <w:pPr>
        <w:jc w:val="center"/>
        <w:rPr>
          <w:caps/>
          <w:sz w:val="24"/>
          <w:szCs w:val="24"/>
          <w:u w:val="single"/>
        </w:rPr>
      </w:pPr>
    </w:p>
    <w:p w14:paraId="622FBA90" w14:textId="77777777" w:rsidR="00C57ABB" w:rsidRDefault="00C57ABB" w:rsidP="00613160">
      <w:pPr>
        <w:jc w:val="center"/>
        <w:rPr>
          <w:caps/>
          <w:sz w:val="24"/>
          <w:szCs w:val="24"/>
          <w:u w:val="single"/>
        </w:rPr>
      </w:pPr>
    </w:p>
    <w:p w14:paraId="706C6AB7" w14:textId="0EE0D3F3" w:rsidR="00613160" w:rsidRPr="00B94C49" w:rsidRDefault="00613160" w:rsidP="00613160">
      <w:pPr>
        <w:jc w:val="center"/>
        <w:rPr>
          <w:caps/>
          <w:sz w:val="24"/>
          <w:szCs w:val="24"/>
          <w:u w:val="single"/>
        </w:rPr>
      </w:pPr>
      <w:r w:rsidRPr="00B94C49">
        <w:rPr>
          <w:caps/>
          <w:sz w:val="24"/>
          <w:szCs w:val="24"/>
          <w:u w:val="single"/>
        </w:rPr>
        <w:t xml:space="preserve">Bills Adopted By the House </w:t>
      </w:r>
      <w:r w:rsidR="00DD048F">
        <w:rPr>
          <w:caps/>
          <w:sz w:val="24"/>
          <w:szCs w:val="24"/>
          <w:u w:val="single"/>
        </w:rPr>
        <w:t>and awaiting senate action</w:t>
      </w:r>
    </w:p>
    <w:p w14:paraId="0A46E924" w14:textId="77777777" w:rsidR="00613160" w:rsidRDefault="00613160" w:rsidP="00613160"/>
    <w:p w14:paraId="64F66B3C" w14:textId="727A13C4" w:rsidR="00613160" w:rsidRDefault="00613160" w:rsidP="00C34415">
      <w:pPr>
        <w:pStyle w:val="ListParagraph"/>
        <w:numPr>
          <w:ilvl w:val="0"/>
          <w:numId w:val="29"/>
        </w:numPr>
        <w:ind w:left="720"/>
        <w:rPr>
          <w:sz w:val="24"/>
          <w:szCs w:val="24"/>
        </w:rPr>
      </w:pPr>
      <w:r w:rsidRPr="001740EA">
        <w:rPr>
          <w:b/>
          <w:bCs/>
          <w:sz w:val="24"/>
          <w:szCs w:val="24"/>
        </w:rPr>
        <w:t>House bill 3750</w:t>
      </w:r>
      <w:r w:rsidRPr="001740EA">
        <w:rPr>
          <w:sz w:val="24"/>
          <w:szCs w:val="24"/>
        </w:rPr>
        <w:t xml:space="preserve"> update</w:t>
      </w:r>
      <w:r w:rsidR="001740EA" w:rsidRPr="001740EA">
        <w:rPr>
          <w:sz w:val="24"/>
          <w:szCs w:val="24"/>
        </w:rPr>
        <w:t>s</w:t>
      </w:r>
      <w:r w:rsidRPr="001740EA">
        <w:rPr>
          <w:sz w:val="24"/>
          <w:szCs w:val="24"/>
        </w:rPr>
        <w:t xml:space="preserve"> </w:t>
      </w:r>
      <w:r w:rsidR="001740EA" w:rsidRPr="001740EA">
        <w:rPr>
          <w:sz w:val="24"/>
          <w:szCs w:val="24"/>
        </w:rPr>
        <w:t xml:space="preserve">the </w:t>
      </w:r>
      <w:r w:rsidRPr="001740EA">
        <w:rPr>
          <w:sz w:val="24"/>
          <w:szCs w:val="24"/>
        </w:rPr>
        <w:t>SCDOT Procurement Code so that the Department c</w:t>
      </w:r>
      <w:r w:rsidR="001740EA" w:rsidRPr="001740EA">
        <w:rPr>
          <w:sz w:val="24"/>
          <w:szCs w:val="24"/>
        </w:rPr>
        <w:t xml:space="preserve">an </w:t>
      </w:r>
      <w:r w:rsidRPr="001740EA">
        <w:rPr>
          <w:sz w:val="24"/>
          <w:szCs w:val="24"/>
        </w:rPr>
        <w:t>construct mass transit facilities</w:t>
      </w:r>
      <w:r w:rsidR="001740EA" w:rsidRPr="001740EA">
        <w:rPr>
          <w:sz w:val="24"/>
          <w:szCs w:val="24"/>
        </w:rPr>
        <w:t xml:space="preserve"> and </w:t>
      </w:r>
      <w:r w:rsidR="00821D04">
        <w:rPr>
          <w:sz w:val="24"/>
          <w:szCs w:val="24"/>
        </w:rPr>
        <w:t xml:space="preserve">conduct </w:t>
      </w:r>
      <w:r w:rsidR="001740EA" w:rsidRPr="001740EA">
        <w:rPr>
          <w:sz w:val="24"/>
          <w:szCs w:val="24"/>
        </w:rPr>
        <w:t>improvements on the State’s rights of way</w:t>
      </w:r>
      <w:r w:rsidRPr="001740EA">
        <w:rPr>
          <w:sz w:val="24"/>
          <w:szCs w:val="24"/>
        </w:rPr>
        <w:t xml:space="preserve">. </w:t>
      </w:r>
    </w:p>
    <w:p w14:paraId="05F9B316" w14:textId="77777777" w:rsidR="001740EA" w:rsidRPr="001740EA" w:rsidRDefault="001740EA" w:rsidP="001740EA">
      <w:pPr>
        <w:pStyle w:val="ListParagraph"/>
        <w:rPr>
          <w:sz w:val="24"/>
          <w:szCs w:val="24"/>
        </w:rPr>
      </w:pPr>
    </w:p>
    <w:p w14:paraId="5C7CD7E7" w14:textId="0485811C" w:rsidR="00613160" w:rsidRPr="00613160" w:rsidRDefault="00613160" w:rsidP="00613160">
      <w:pPr>
        <w:pStyle w:val="ListParagraph"/>
        <w:rPr>
          <w:b/>
          <w:bCs/>
          <w:i/>
          <w:iCs/>
          <w:sz w:val="24"/>
          <w:szCs w:val="24"/>
        </w:rPr>
      </w:pPr>
      <w:r w:rsidRPr="00613160">
        <w:rPr>
          <w:b/>
          <w:bCs/>
          <w:i/>
          <w:iCs/>
          <w:sz w:val="24"/>
          <w:szCs w:val="24"/>
        </w:rPr>
        <w:t>(H.</w:t>
      </w:r>
      <w:r w:rsidR="0062788D">
        <w:rPr>
          <w:b/>
          <w:bCs/>
          <w:i/>
          <w:iCs/>
          <w:sz w:val="24"/>
          <w:szCs w:val="24"/>
        </w:rPr>
        <w:t xml:space="preserve"> </w:t>
      </w:r>
      <w:r w:rsidRPr="00613160">
        <w:rPr>
          <w:b/>
          <w:bCs/>
          <w:i/>
          <w:iCs/>
          <w:sz w:val="24"/>
          <w:szCs w:val="24"/>
        </w:rPr>
        <w:t xml:space="preserve">3750 was reported favorably by the House on March 8, 2023, and referred to the Senate Finance Committee.) </w:t>
      </w:r>
    </w:p>
    <w:p w14:paraId="46D8C335" w14:textId="77777777" w:rsidR="00613160" w:rsidRPr="00613160" w:rsidRDefault="00613160" w:rsidP="00613160">
      <w:pPr>
        <w:rPr>
          <w:rFonts w:cs="Times New Roman"/>
          <w:sz w:val="24"/>
          <w:szCs w:val="24"/>
          <w:u w:val="single"/>
        </w:rPr>
      </w:pPr>
    </w:p>
    <w:p w14:paraId="0A0A1E06" w14:textId="77777777" w:rsidR="00613160" w:rsidRDefault="00613160" w:rsidP="00C60E82">
      <w:pPr>
        <w:jc w:val="center"/>
        <w:rPr>
          <w:rFonts w:eastAsia="Calibri" w:cs="Times New Roman"/>
          <w:b/>
          <w:sz w:val="40"/>
          <w:szCs w:val="40"/>
          <w:u w:val="single"/>
        </w:rPr>
      </w:pPr>
    </w:p>
    <w:p w14:paraId="2F4608D1" w14:textId="77777777" w:rsidR="00613160" w:rsidRDefault="00613160" w:rsidP="00C60E82">
      <w:pPr>
        <w:jc w:val="center"/>
        <w:rPr>
          <w:rFonts w:eastAsia="Calibri" w:cs="Times New Roman"/>
          <w:b/>
          <w:sz w:val="40"/>
          <w:szCs w:val="40"/>
          <w:u w:val="single"/>
        </w:rPr>
      </w:pPr>
    </w:p>
    <w:p w14:paraId="51E3BEBA" w14:textId="77777777" w:rsidR="00613160" w:rsidRDefault="00613160" w:rsidP="00C60E82">
      <w:pPr>
        <w:jc w:val="center"/>
        <w:rPr>
          <w:rFonts w:eastAsia="Calibri" w:cs="Times New Roman"/>
          <w:b/>
          <w:sz w:val="40"/>
          <w:szCs w:val="40"/>
          <w:u w:val="single"/>
        </w:rPr>
      </w:pPr>
    </w:p>
    <w:p w14:paraId="395F23AF" w14:textId="77777777" w:rsidR="00613160" w:rsidRDefault="00613160" w:rsidP="00C60E82">
      <w:pPr>
        <w:jc w:val="center"/>
        <w:rPr>
          <w:rFonts w:eastAsia="Calibri" w:cs="Times New Roman"/>
          <w:b/>
          <w:sz w:val="40"/>
          <w:szCs w:val="40"/>
          <w:u w:val="single"/>
        </w:rPr>
      </w:pPr>
    </w:p>
    <w:p w14:paraId="27C7576B" w14:textId="77777777" w:rsidR="00613160" w:rsidRDefault="00613160" w:rsidP="00C60E82">
      <w:pPr>
        <w:jc w:val="center"/>
        <w:rPr>
          <w:rFonts w:eastAsia="Calibri" w:cs="Times New Roman"/>
          <w:b/>
          <w:sz w:val="40"/>
          <w:szCs w:val="40"/>
          <w:u w:val="single"/>
        </w:rPr>
      </w:pPr>
    </w:p>
    <w:p w14:paraId="0B9D7B90" w14:textId="5C15035F" w:rsidR="00C57ABB" w:rsidRDefault="00C57ABB">
      <w:pPr>
        <w:rPr>
          <w:rFonts w:eastAsia="Calibri" w:cs="Times New Roman"/>
          <w:b/>
          <w:sz w:val="40"/>
          <w:szCs w:val="40"/>
          <w:u w:val="single"/>
        </w:rPr>
      </w:pPr>
      <w:r>
        <w:rPr>
          <w:rFonts w:eastAsia="Calibri" w:cs="Times New Roman"/>
          <w:b/>
          <w:sz w:val="40"/>
          <w:szCs w:val="40"/>
          <w:u w:val="single"/>
        </w:rPr>
        <w:br w:type="page"/>
      </w:r>
    </w:p>
    <w:p w14:paraId="63125590" w14:textId="5BD2CF0C" w:rsidR="0020168E" w:rsidRPr="0020168E" w:rsidRDefault="0020168E" w:rsidP="00C60E82">
      <w:pPr>
        <w:jc w:val="center"/>
        <w:rPr>
          <w:rFonts w:eastAsia="Calibri" w:cs="Times New Roman"/>
          <w:b/>
          <w:sz w:val="40"/>
          <w:szCs w:val="40"/>
          <w:u w:val="single"/>
        </w:rPr>
      </w:pPr>
      <w:r w:rsidRPr="0020168E">
        <w:rPr>
          <w:rFonts w:eastAsia="Calibri" w:cs="Times New Roman"/>
          <w:b/>
          <w:sz w:val="40"/>
          <w:szCs w:val="40"/>
          <w:u w:val="single"/>
        </w:rPr>
        <w:lastRenderedPageBreak/>
        <w:t>Appendix</w:t>
      </w:r>
    </w:p>
    <w:p w14:paraId="5169505A" w14:textId="77777777" w:rsidR="0020168E" w:rsidRPr="0020168E" w:rsidRDefault="0020168E" w:rsidP="0020168E">
      <w:pPr>
        <w:pStyle w:val="ListParagraph"/>
        <w:spacing w:after="160" w:line="256" w:lineRule="auto"/>
        <w:rPr>
          <w:rFonts w:eastAsia="Calibri" w:cs="Times New Roman"/>
          <w:sz w:val="32"/>
          <w:szCs w:val="32"/>
          <w:u w:val="single"/>
        </w:rPr>
      </w:pPr>
    </w:p>
    <w:p w14:paraId="503C5AC5" w14:textId="77777777" w:rsidR="0020168E" w:rsidRDefault="0020168E" w:rsidP="0020168E">
      <w:pPr>
        <w:rPr>
          <w:rFonts w:eastAsia="Calibri" w:cs="Times New Roman"/>
          <w:sz w:val="24"/>
          <w:szCs w:val="24"/>
        </w:rPr>
      </w:pPr>
    </w:p>
    <w:p w14:paraId="36731BBF" w14:textId="77777777" w:rsidR="0020168E" w:rsidRDefault="00C60E82" w:rsidP="0020168E">
      <w:pPr>
        <w:spacing w:after="200" w:line="276" w:lineRule="auto"/>
        <w:rPr>
          <w:rFonts w:eastAsia="Calibri" w:cs="Times New Roman"/>
          <w:sz w:val="24"/>
          <w:szCs w:val="24"/>
        </w:rPr>
      </w:pPr>
      <w:r>
        <w:rPr>
          <w:rFonts w:eastAsia="Calibri" w:cs="Times New Roman"/>
          <w:sz w:val="24"/>
          <w:szCs w:val="24"/>
        </w:rPr>
        <w:t>Of the 217</w:t>
      </w:r>
      <w:r w:rsidR="0020168E">
        <w:rPr>
          <w:rFonts w:eastAsia="Calibri" w:cs="Times New Roman"/>
          <w:sz w:val="24"/>
          <w:szCs w:val="24"/>
        </w:rPr>
        <w:t xml:space="preserve"> bills assigned to the Educati</w:t>
      </w:r>
      <w:r>
        <w:rPr>
          <w:rFonts w:eastAsia="Calibri" w:cs="Times New Roman"/>
          <w:sz w:val="24"/>
          <w:szCs w:val="24"/>
        </w:rPr>
        <w:t>on and Public Works committee, 37</w:t>
      </w:r>
      <w:r w:rsidR="0020168E">
        <w:rPr>
          <w:rFonts w:eastAsia="Calibri" w:cs="Times New Roman"/>
          <w:sz w:val="24"/>
          <w:szCs w:val="24"/>
        </w:rPr>
        <w:t xml:space="preserve"> were enacted into law during the 124th </w:t>
      </w:r>
      <w:r w:rsidR="00522E11">
        <w:rPr>
          <w:rFonts w:eastAsia="Calibri" w:cs="Times New Roman"/>
          <w:sz w:val="24"/>
          <w:szCs w:val="24"/>
        </w:rPr>
        <w:t>South Carolina General Assembly (</w:t>
      </w:r>
      <w:r w:rsidR="00522E11" w:rsidRPr="00522E11">
        <w:rPr>
          <w:rFonts w:eastAsia="Calibri" w:cs="Times New Roman"/>
          <w:b/>
          <w:sz w:val="24"/>
          <w:szCs w:val="24"/>
        </w:rPr>
        <w:t>as of May 23, 2022</w:t>
      </w:r>
      <w:r w:rsidR="00522E11">
        <w:rPr>
          <w:rFonts w:eastAsia="Calibri" w:cs="Times New Roman"/>
          <w:sz w:val="24"/>
          <w:szCs w:val="24"/>
        </w:rPr>
        <w:t>).</w:t>
      </w:r>
    </w:p>
    <w:p w14:paraId="78FC429A" w14:textId="77777777" w:rsidR="0020168E" w:rsidRDefault="0020168E" w:rsidP="0020168E">
      <w:pPr>
        <w:spacing w:after="200" w:line="276" w:lineRule="auto"/>
        <w:rPr>
          <w:rFonts w:eastAsia="Calibri" w:cs="Times New Roman"/>
          <w:sz w:val="24"/>
          <w:szCs w:val="24"/>
        </w:rPr>
      </w:pPr>
    </w:p>
    <w:tbl>
      <w:tblPr>
        <w:tblStyle w:val="TableGrid"/>
        <w:tblW w:w="10705" w:type="dxa"/>
        <w:tblLook w:val="04A0" w:firstRow="1" w:lastRow="0" w:firstColumn="1" w:lastColumn="0" w:noHBand="0" w:noVBand="1"/>
      </w:tblPr>
      <w:tblGrid>
        <w:gridCol w:w="1975"/>
        <w:gridCol w:w="2520"/>
        <w:gridCol w:w="2250"/>
        <w:gridCol w:w="3960"/>
      </w:tblGrid>
      <w:tr w:rsidR="00C60E82" w14:paraId="446FED22" w14:textId="77777777" w:rsidTr="00CD5E0A">
        <w:tc>
          <w:tcPr>
            <w:tcW w:w="1975" w:type="dxa"/>
          </w:tcPr>
          <w:p w14:paraId="00941472" w14:textId="77777777" w:rsidR="00C60E82" w:rsidRPr="00CD5E0A" w:rsidRDefault="00C60E82" w:rsidP="0020168E">
            <w:pPr>
              <w:spacing w:after="200" w:line="276" w:lineRule="auto"/>
              <w:rPr>
                <w:rFonts w:eastAsia="Calibri" w:cs="Times New Roman"/>
                <w:b/>
                <w:sz w:val="24"/>
                <w:szCs w:val="24"/>
              </w:rPr>
            </w:pPr>
            <w:r w:rsidRPr="00CD5E0A">
              <w:rPr>
                <w:rFonts w:eastAsia="Calibri" w:cs="Times New Roman"/>
                <w:b/>
                <w:sz w:val="24"/>
                <w:szCs w:val="24"/>
              </w:rPr>
              <w:t>Subcommittee</w:t>
            </w:r>
          </w:p>
        </w:tc>
        <w:tc>
          <w:tcPr>
            <w:tcW w:w="2520" w:type="dxa"/>
          </w:tcPr>
          <w:p w14:paraId="4BE10EB0" w14:textId="73F41598" w:rsidR="00C60E82" w:rsidRPr="00CD5E0A" w:rsidRDefault="00C60E82" w:rsidP="0020168E">
            <w:pPr>
              <w:spacing w:after="200" w:line="276" w:lineRule="auto"/>
              <w:rPr>
                <w:rFonts w:eastAsia="Calibri" w:cs="Times New Roman"/>
                <w:b/>
                <w:sz w:val="24"/>
                <w:szCs w:val="24"/>
              </w:rPr>
            </w:pPr>
            <w:r w:rsidRPr="00CD5E0A">
              <w:rPr>
                <w:rFonts w:eastAsia="Calibri" w:cs="Times New Roman"/>
                <w:b/>
                <w:sz w:val="24"/>
                <w:szCs w:val="24"/>
              </w:rPr>
              <w:t>Enacted 20</w:t>
            </w:r>
            <w:r w:rsidR="00E95B87">
              <w:rPr>
                <w:rFonts w:eastAsia="Calibri" w:cs="Times New Roman"/>
                <w:b/>
                <w:sz w:val="24"/>
                <w:szCs w:val="24"/>
              </w:rPr>
              <w:t>23</w:t>
            </w:r>
          </w:p>
        </w:tc>
        <w:tc>
          <w:tcPr>
            <w:tcW w:w="2250" w:type="dxa"/>
          </w:tcPr>
          <w:p w14:paraId="13FD5566" w14:textId="2F10F177" w:rsidR="00C60E82" w:rsidRPr="00CD5E0A" w:rsidRDefault="00C60E82" w:rsidP="0020168E">
            <w:pPr>
              <w:spacing w:after="200" w:line="276" w:lineRule="auto"/>
              <w:rPr>
                <w:rFonts w:eastAsia="Calibri" w:cs="Times New Roman"/>
                <w:b/>
                <w:sz w:val="24"/>
                <w:szCs w:val="24"/>
              </w:rPr>
            </w:pPr>
            <w:r w:rsidRPr="00CD5E0A">
              <w:rPr>
                <w:rFonts w:eastAsia="Calibri" w:cs="Times New Roman"/>
                <w:b/>
                <w:sz w:val="24"/>
                <w:szCs w:val="24"/>
              </w:rPr>
              <w:t>Enacted 202</w:t>
            </w:r>
            <w:r w:rsidR="00E95B87">
              <w:rPr>
                <w:rFonts w:eastAsia="Calibri" w:cs="Times New Roman"/>
                <w:b/>
                <w:sz w:val="24"/>
                <w:szCs w:val="24"/>
              </w:rPr>
              <w:t>4</w:t>
            </w:r>
          </w:p>
        </w:tc>
        <w:tc>
          <w:tcPr>
            <w:tcW w:w="3960" w:type="dxa"/>
          </w:tcPr>
          <w:p w14:paraId="78C1F8BA" w14:textId="3E29B172" w:rsidR="00C60E82" w:rsidRPr="00CD5E0A" w:rsidRDefault="00C60E82" w:rsidP="0020168E">
            <w:pPr>
              <w:spacing w:after="200" w:line="276" w:lineRule="auto"/>
              <w:rPr>
                <w:rFonts w:eastAsia="Calibri" w:cs="Times New Roman"/>
                <w:b/>
                <w:sz w:val="24"/>
                <w:szCs w:val="24"/>
              </w:rPr>
            </w:pPr>
            <w:r w:rsidRPr="00CD5E0A">
              <w:rPr>
                <w:rFonts w:eastAsia="Calibri" w:cs="Times New Roman"/>
                <w:b/>
                <w:sz w:val="24"/>
                <w:szCs w:val="24"/>
              </w:rPr>
              <w:t xml:space="preserve">Adopted only by the House </w:t>
            </w:r>
            <w:r w:rsidR="00E95B87">
              <w:rPr>
                <w:rFonts w:eastAsia="Calibri" w:cs="Times New Roman"/>
                <w:b/>
                <w:sz w:val="24"/>
                <w:szCs w:val="24"/>
              </w:rPr>
              <w:t>2023</w:t>
            </w:r>
          </w:p>
        </w:tc>
      </w:tr>
      <w:tr w:rsidR="00C60E82" w14:paraId="7F7579F6" w14:textId="77777777" w:rsidTr="00CD5E0A">
        <w:tc>
          <w:tcPr>
            <w:tcW w:w="1975" w:type="dxa"/>
          </w:tcPr>
          <w:p w14:paraId="14E90B0B" w14:textId="77777777" w:rsidR="00C60E82" w:rsidRDefault="00C60E82" w:rsidP="0020168E">
            <w:pPr>
              <w:spacing w:after="200" w:line="276" w:lineRule="auto"/>
              <w:rPr>
                <w:rFonts w:eastAsia="Calibri" w:cs="Times New Roman"/>
                <w:sz w:val="24"/>
                <w:szCs w:val="24"/>
              </w:rPr>
            </w:pPr>
            <w:r>
              <w:rPr>
                <w:rFonts w:eastAsia="Calibri" w:cs="Times New Roman"/>
                <w:sz w:val="24"/>
                <w:szCs w:val="24"/>
              </w:rPr>
              <w:t>K-12</w:t>
            </w:r>
          </w:p>
        </w:tc>
        <w:tc>
          <w:tcPr>
            <w:tcW w:w="2520" w:type="dxa"/>
          </w:tcPr>
          <w:p w14:paraId="4B5968BB" w14:textId="0DA6EDCA" w:rsidR="00C60E82" w:rsidRDefault="00D14D82" w:rsidP="0020168E">
            <w:pPr>
              <w:spacing w:after="200" w:line="276" w:lineRule="auto"/>
              <w:rPr>
                <w:rFonts w:eastAsia="Calibri" w:cs="Times New Roman"/>
                <w:sz w:val="24"/>
                <w:szCs w:val="24"/>
              </w:rPr>
            </w:pPr>
            <w:r>
              <w:rPr>
                <w:rFonts w:eastAsia="Calibri" w:cs="Times New Roman"/>
                <w:sz w:val="24"/>
                <w:szCs w:val="24"/>
              </w:rPr>
              <w:t>7</w:t>
            </w:r>
          </w:p>
        </w:tc>
        <w:tc>
          <w:tcPr>
            <w:tcW w:w="2250" w:type="dxa"/>
          </w:tcPr>
          <w:p w14:paraId="4013AF91" w14:textId="76D3F302" w:rsidR="00C60E82" w:rsidRDefault="00E95B87" w:rsidP="0020168E">
            <w:pPr>
              <w:spacing w:after="200" w:line="276" w:lineRule="auto"/>
              <w:rPr>
                <w:rFonts w:eastAsia="Calibri" w:cs="Times New Roman"/>
                <w:sz w:val="24"/>
                <w:szCs w:val="24"/>
              </w:rPr>
            </w:pPr>
            <w:r>
              <w:rPr>
                <w:rFonts w:eastAsia="Calibri" w:cs="Times New Roman"/>
                <w:sz w:val="24"/>
                <w:szCs w:val="24"/>
              </w:rPr>
              <w:t>N/A</w:t>
            </w:r>
          </w:p>
        </w:tc>
        <w:tc>
          <w:tcPr>
            <w:tcW w:w="3960" w:type="dxa"/>
          </w:tcPr>
          <w:p w14:paraId="4E431B27" w14:textId="0E9682DB" w:rsidR="00C60E82" w:rsidRDefault="00607382" w:rsidP="00C60E82">
            <w:pPr>
              <w:spacing w:after="200" w:line="276" w:lineRule="auto"/>
              <w:rPr>
                <w:rFonts w:eastAsia="Calibri" w:cs="Times New Roman"/>
                <w:sz w:val="24"/>
                <w:szCs w:val="24"/>
              </w:rPr>
            </w:pPr>
            <w:r>
              <w:rPr>
                <w:rFonts w:eastAsia="Calibri" w:cs="Times New Roman"/>
                <w:sz w:val="24"/>
                <w:szCs w:val="24"/>
              </w:rPr>
              <w:t>8</w:t>
            </w:r>
          </w:p>
        </w:tc>
      </w:tr>
      <w:tr w:rsidR="00C60E82" w14:paraId="43B70A64" w14:textId="77777777" w:rsidTr="00CD5E0A">
        <w:tc>
          <w:tcPr>
            <w:tcW w:w="1975" w:type="dxa"/>
          </w:tcPr>
          <w:p w14:paraId="58D4C78E" w14:textId="77777777" w:rsidR="00C60E82" w:rsidRDefault="00C60E82" w:rsidP="0020168E">
            <w:pPr>
              <w:spacing w:after="200" w:line="276" w:lineRule="auto"/>
              <w:rPr>
                <w:rFonts w:eastAsia="Calibri" w:cs="Times New Roman"/>
                <w:sz w:val="24"/>
                <w:szCs w:val="24"/>
              </w:rPr>
            </w:pPr>
            <w:r>
              <w:rPr>
                <w:rFonts w:eastAsia="Calibri" w:cs="Times New Roman"/>
                <w:sz w:val="24"/>
                <w:szCs w:val="24"/>
              </w:rPr>
              <w:t>Higher Education</w:t>
            </w:r>
          </w:p>
        </w:tc>
        <w:tc>
          <w:tcPr>
            <w:tcW w:w="2520" w:type="dxa"/>
          </w:tcPr>
          <w:p w14:paraId="75F86FB8" w14:textId="28643FD4" w:rsidR="00C60E82" w:rsidRDefault="00E95B87" w:rsidP="0020168E">
            <w:pPr>
              <w:spacing w:after="200" w:line="276" w:lineRule="auto"/>
              <w:rPr>
                <w:rFonts w:eastAsia="Calibri" w:cs="Times New Roman"/>
                <w:sz w:val="24"/>
                <w:szCs w:val="24"/>
              </w:rPr>
            </w:pPr>
            <w:r>
              <w:rPr>
                <w:rFonts w:eastAsia="Calibri" w:cs="Times New Roman"/>
                <w:sz w:val="24"/>
                <w:szCs w:val="24"/>
              </w:rPr>
              <w:t>1</w:t>
            </w:r>
          </w:p>
        </w:tc>
        <w:tc>
          <w:tcPr>
            <w:tcW w:w="2250" w:type="dxa"/>
          </w:tcPr>
          <w:p w14:paraId="56E2DD94" w14:textId="1DE82525" w:rsidR="00C60E82" w:rsidRDefault="00E95B87" w:rsidP="0020168E">
            <w:pPr>
              <w:spacing w:after="200" w:line="276" w:lineRule="auto"/>
              <w:rPr>
                <w:rFonts w:eastAsia="Calibri" w:cs="Times New Roman"/>
                <w:sz w:val="24"/>
                <w:szCs w:val="24"/>
              </w:rPr>
            </w:pPr>
            <w:r>
              <w:rPr>
                <w:rFonts w:eastAsia="Calibri" w:cs="Times New Roman"/>
                <w:sz w:val="24"/>
                <w:szCs w:val="24"/>
              </w:rPr>
              <w:t>N/A</w:t>
            </w:r>
          </w:p>
        </w:tc>
        <w:tc>
          <w:tcPr>
            <w:tcW w:w="3960" w:type="dxa"/>
          </w:tcPr>
          <w:p w14:paraId="585B5ACB" w14:textId="512CC177" w:rsidR="00C60E82" w:rsidRDefault="00E95B87" w:rsidP="0020168E">
            <w:pPr>
              <w:spacing w:after="200" w:line="276" w:lineRule="auto"/>
              <w:rPr>
                <w:rFonts w:eastAsia="Calibri" w:cs="Times New Roman"/>
                <w:sz w:val="24"/>
                <w:szCs w:val="24"/>
              </w:rPr>
            </w:pPr>
            <w:r>
              <w:rPr>
                <w:rFonts w:eastAsia="Calibri" w:cs="Times New Roman"/>
                <w:sz w:val="24"/>
                <w:szCs w:val="24"/>
              </w:rPr>
              <w:t>1</w:t>
            </w:r>
          </w:p>
        </w:tc>
      </w:tr>
      <w:tr w:rsidR="00D14D82" w14:paraId="12AE1383" w14:textId="77777777" w:rsidTr="00CD5E0A">
        <w:tc>
          <w:tcPr>
            <w:tcW w:w="1975" w:type="dxa"/>
          </w:tcPr>
          <w:p w14:paraId="6AB9F82F" w14:textId="049A07BA" w:rsidR="00D14D82" w:rsidRDefault="00D14D82" w:rsidP="0020168E">
            <w:pPr>
              <w:spacing w:after="200" w:line="276" w:lineRule="auto"/>
              <w:rPr>
                <w:rFonts w:eastAsia="Calibri" w:cs="Times New Roman"/>
                <w:sz w:val="24"/>
                <w:szCs w:val="24"/>
              </w:rPr>
            </w:pPr>
            <w:r>
              <w:rPr>
                <w:rFonts w:eastAsia="Calibri" w:cs="Times New Roman"/>
                <w:sz w:val="24"/>
                <w:szCs w:val="24"/>
              </w:rPr>
              <w:t>Early Childhood</w:t>
            </w:r>
          </w:p>
        </w:tc>
        <w:tc>
          <w:tcPr>
            <w:tcW w:w="2520" w:type="dxa"/>
          </w:tcPr>
          <w:p w14:paraId="7B731D47" w14:textId="0FB55988" w:rsidR="00D14D82" w:rsidRDefault="00D14D82" w:rsidP="0020168E">
            <w:pPr>
              <w:spacing w:after="200" w:line="276" w:lineRule="auto"/>
              <w:rPr>
                <w:rFonts w:eastAsia="Calibri" w:cs="Times New Roman"/>
                <w:sz w:val="24"/>
                <w:szCs w:val="24"/>
              </w:rPr>
            </w:pPr>
            <w:r>
              <w:rPr>
                <w:rFonts w:eastAsia="Calibri" w:cs="Times New Roman"/>
                <w:sz w:val="24"/>
                <w:szCs w:val="24"/>
              </w:rPr>
              <w:t>1</w:t>
            </w:r>
          </w:p>
        </w:tc>
        <w:tc>
          <w:tcPr>
            <w:tcW w:w="2250" w:type="dxa"/>
          </w:tcPr>
          <w:p w14:paraId="0A3736D1" w14:textId="54A99E9A" w:rsidR="00D14D82" w:rsidRDefault="00D14D82" w:rsidP="0020168E">
            <w:pPr>
              <w:spacing w:after="200" w:line="276" w:lineRule="auto"/>
              <w:rPr>
                <w:rFonts w:eastAsia="Calibri" w:cs="Times New Roman"/>
                <w:sz w:val="24"/>
                <w:szCs w:val="24"/>
              </w:rPr>
            </w:pPr>
            <w:r>
              <w:rPr>
                <w:rFonts w:eastAsia="Calibri" w:cs="Times New Roman"/>
                <w:sz w:val="24"/>
                <w:szCs w:val="24"/>
              </w:rPr>
              <w:t>N/A</w:t>
            </w:r>
          </w:p>
        </w:tc>
        <w:tc>
          <w:tcPr>
            <w:tcW w:w="3960" w:type="dxa"/>
          </w:tcPr>
          <w:p w14:paraId="033E9385" w14:textId="77777777" w:rsidR="00D14D82" w:rsidRDefault="00D14D82" w:rsidP="0020168E">
            <w:pPr>
              <w:spacing w:after="200" w:line="276" w:lineRule="auto"/>
              <w:rPr>
                <w:rFonts w:eastAsia="Calibri" w:cs="Times New Roman"/>
                <w:sz w:val="24"/>
                <w:szCs w:val="24"/>
              </w:rPr>
            </w:pPr>
          </w:p>
        </w:tc>
      </w:tr>
      <w:tr w:rsidR="00C60E82" w14:paraId="45C8EC8A" w14:textId="77777777" w:rsidTr="00CD5E0A">
        <w:tc>
          <w:tcPr>
            <w:tcW w:w="1975" w:type="dxa"/>
          </w:tcPr>
          <w:p w14:paraId="601686B4" w14:textId="77777777" w:rsidR="00C60E82" w:rsidRDefault="00C60E82" w:rsidP="0020168E">
            <w:pPr>
              <w:spacing w:after="200" w:line="276" w:lineRule="auto"/>
              <w:rPr>
                <w:rFonts w:eastAsia="Calibri" w:cs="Times New Roman"/>
                <w:sz w:val="24"/>
                <w:szCs w:val="24"/>
              </w:rPr>
            </w:pPr>
            <w:r>
              <w:rPr>
                <w:rFonts w:eastAsia="Calibri" w:cs="Times New Roman"/>
                <w:sz w:val="24"/>
                <w:szCs w:val="24"/>
              </w:rPr>
              <w:t>Public Safety</w:t>
            </w:r>
          </w:p>
        </w:tc>
        <w:tc>
          <w:tcPr>
            <w:tcW w:w="2520" w:type="dxa"/>
          </w:tcPr>
          <w:p w14:paraId="5B3A8234" w14:textId="77777777" w:rsidR="00C60E82" w:rsidRDefault="00C60E82" w:rsidP="0020168E">
            <w:pPr>
              <w:spacing w:after="200" w:line="276" w:lineRule="auto"/>
              <w:rPr>
                <w:rFonts w:eastAsia="Calibri" w:cs="Times New Roman"/>
                <w:sz w:val="24"/>
                <w:szCs w:val="24"/>
              </w:rPr>
            </w:pPr>
            <w:r>
              <w:rPr>
                <w:rFonts w:eastAsia="Calibri" w:cs="Times New Roman"/>
                <w:sz w:val="24"/>
                <w:szCs w:val="24"/>
              </w:rPr>
              <w:t>0</w:t>
            </w:r>
          </w:p>
        </w:tc>
        <w:tc>
          <w:tcPr>
            <w:tcW w:w="2250" w:type="dxa"/>
          </w:tcPr>
          <w:p w14:paraId="6EA1E46C" w14:textId="6DE5C33F" w:rsidR="00C60E82" w:rsidRDefault="00E95B87" w:rsidP="0020168E">
            <w:pPr>
              <w:spacing w:after="200" w:line="276" w:lineRule="auto"/>
              <w:rPr>
                <w:rFonts w:eastAsia="Calibri" w:cs="Times New Roman"/>
                <w:sz w:val="24"/>
                <w:szCs w:val="24"/>
              </w:rPr>
            </w:pPr>
            <w:r>
              <w:rPr>
                <w:rFonts w:eastAsia="Calibri" w:cs="Times New Roman"/>
                <w:sz w:val="24"/>
                <w:szCs w:val="24"/>
              </w:rPr>
              <w:t>N/A</w:t>
            </w:r>
          </w:p>
        </w:tc>
        <w:tc>
          <w:tcPr>
            <w:tcW w:w="3960" w:type="dxa"/>
          </w:tcPr>
          <w:p w14:paraId="53C4F3C7" w14:textId="77777777" w:rsidR="00C60E82" w:rsidRDefault="00C60E82" w:rsidP="0020168E">
            <w:pPr>
              <w:spacing w:after="200" w:line="276" w:lineRule="auto"/>
              <w:rPr>
                <w:rFonts w:eastAsia="Calibri" w:cs="Times New Roman"/>
                <w:sz w:val="24"/>
                <w:szCs w:val="24"/>
              </w:rPr>
            </w:pPr>
            <w:r>
              <w:rPr>
                <w:rFonts w:eastAsia="Calibri" w:cs="Times New Roman"/>
                <w:sz w:val="24"/>
                <w:szCs w:val="24"/>
              </w:rPr>
              <w:t>0</w:t>
            </w:r>
          </w:p>
        </w:tc>
      </w:tr>
      <w:tr w:rsidR="00C60E82" w14:paraId="0AE703B8" w14:textId="77777777" w:rsidTr="00CD5E0A">
        <w:tc>
          <w:tcPr>
            <w:tcW w:w="1975" w:type="dxa"/>
          </w:tcPr>
          <w:p w14:paraId="48273C67" w14:textId="77777777" w:rsidR="00C60E82" w:rsidRDefault="00C60E82" w:rsidP="0020168E">
            <w:pPr>
              <w:spacing w:after="200" w:line="276" w:lineRule="auto"/>
              <w:rPr>
                <w:rFonts w:eastAsia="Calibri" w:cs="Times New Roman"/>
                <w:sz w:val="24"/>
                <w:szCs w:val="24"/>
              </w:rPr>
            </w:pPr>
            <w:r w:rsidRPr="00C60E82">
              <w:rPr>
                <w:rFonts w:eastAsia="Calibri" w:cs="Times New Roman"/>
                <w:sz w:val="24"/>
                <w:szCs w:val="24"/>
              </w:rPr>
              <w:t>Motor Vehicles</w:t>
            </w:r>
          </w:p>
        </w:tc>
        <w:tc>
          <w:tcPr>
            <w:tcW w:w="2520" w:type="dxa"/>
          </w:tcPr>
          <w:p w14:paraId="24452631" w14:textId="4C3C58C4" w:rsidR="00C60E82" w:rsidRDefault="00E95B87" w:rsidP="0020168E">
            <w:pPr>
              <w:spacing w:after="200" w:line="276" w:lineRule="auto"/>
              <w:rPr>
                <w:rFonts w:eastAsia="Calibri" w:cs="Times New Roman"/>
                <w:sz w:val="24"/>
                <w:szCs w:val="24"/>
              </w:rPr>
            </w:pPr>
            <w:r>
              <w:rPr>
                <w:rFonts w:eastAsia="Calibri" w:cs="Times New Roman"/>
                <w:sz w:val="24"/>
                <w:szCs w:val="24"/>
              </w:rPr>
              <w:t>2</w:t>
            </w:r>
          </w:p>
        </w:tc>
        <w:tc>
          <w:tcPr>
            <w:tcW w:w="2250" w:type="dxa"/>
          </w:tcPr>
          <w:p w14:paraId="0BD6F96D" w14:textId="22803AAE" w:rsidR="00C60E82" w:rsidRDefault="00E95B87" w:rsidP="0020168E">
            <w:pPr>
              <w:spacing w:after="200" w:line="276" w:lineRule="auto"/>
              <w:rPr>
                <w:rFonts w:eastAsia="Calibri" w:cs="Times New Roman"/>
                <w:sz w:val="24"/>
                <w:szCs w:val="24"/>
              </w:rPr>
            </w:pPr>
            <w:r>
              <w:rPr>
                <w:rFonts w:eastAsia="Calibri" w:cs="Times New Roman"/>
                <w:sz w:val="24"/>
                <w:szCs w:val="24"/>
              </w:rPr>
              <w:t>N/A</w:t>
            </w:r>
          </w:p>
        </w:tc>
        <w:tc>
          <w:tcPr>
            <w:tcW w:w="3960" w:type="dxa"/>
          </w:tcPr>
          <w:p w14:paraId="512B72FC" w14:textId="4F7ED5CB" w:rsidR="00C60E82" w:rsidRDefault="00E95B87" w:rsidP="0020168E">
            <w:pPr>
              <w:spacing w:after="200" w:line="276" w:lineRule="auto"/>
              <w:rPr>
                <w:rFonts w:eastAsia="Calibri" w:cs="Times New Roman"/>
                <w:sz w:val="24"/>
                <w:szCs w:val="24"/>
              </w:rPr>
            </w:pPr>
            <w:r>
              <w:rPr>
                <w:rFonts w:eastAsia="Calibri" w:cs="Times New Roman"/>
                <w:sz w:val="24"/>
                <w:szCs w:val="24"/>
              </w:rPr>
              <w:t>6</w:t>
            </w:r>
          </w:p>
        </w:tc>
      </w:tr>
      <w:tr w:rsidR="00C60E82" w14:paraId="6B61B13D" w14:textId="77777777" w:rsidTr="00CD5E0A">
        <w:tc>
          <w:tcPr>
            <w:tcW w:w="1975" w:type="dxa"/>
          </w:tcPr>
          <w:p w14:paraId="5B8658F9" w14:textId="77777777" w:rsidR="00C60E82" w:rsidRDefault="00C60E82" w:rsidP="0020168E">
            <w:pPr>
              <w:spacing w:after="200" w:line="276" w:lineRule="auto"/>
              <w:rPr>
                <w:rFonts w:eastAsia="Calibri" w:cs="Times New Roman"/>
                <w:sz w:val="24"/>
                <w:szCs w:val="24"/>
              </w:rPr>
            </w:pPr>
            <w:r>
              <w:rPr>
                <w:rFonts w:eastAsia="Calibri" w:cs="Times New Roman"/>
                <w:sz w:val="24"/>
                <w:szCs w:val="24"/>
              </w:rPr>
              <w:t>Transportation</w:t>
            </w:r>
          </w:p>
        </w:tc>
        <w:tc>
          <w:tcPr>
            <w:tcW w:w="2520" w:type="dxa"/>
          </w:tcPr>
          <w:p w14:paraId="4C102BF6" w14:textId="6295D022" w:rsidR="00C60E82" w:rsidRDefault="00E95B87" w:rsidP="0020168E">
            <w:pPr>
              <w:spacing w:after="200" w:line="276" w:lineRule="auto"/>
              <w:rPr>
                <w:rFonts w:eastAsia="Calibri" w:cs="Times New Roman"/>
                <w:sz w:val="24"/>
                <w:szCs w:val="24"/>
              </w:rPr>
            </w:pPr>
            <w:r>
              <w:rPr>
                <w:rFonts w:eastAsia="Calibri" w:cs="Times New Roman"/>
                <w:sz w:val="24"/>
                <w:szCs w:val="24"/>
              </w:rPr>
              <w:t>1</w:t>
            </w:r>
          </w:p>
        </w:tc>
        <w:tc>
          <w:tcPr>
            <w:tcW w:w="2250" w:type="dxa"/>
          </w:tcPr>
          <w:p w14:paraId="23735E9A" w14:textId="2C57E32E" w:rsidR="00C60E82" w:rsidRDefault="00E95B87" w:rsidP="0020168E">
            <w:pPr>
              <w:spacing w:after="200" w:line="276" w:lineRule="auto"/>
              <w:rPr>
                <w:rFonts w:eastAsia="Calibri" w:cs="Times New Roman"/>
                <w:sz w:val="24"/>
                <w:szCs w:val="24"/>
              </w:rPr>
            </w:pPr>
            <w:r>
              <w:rPr>
                <w:rFonts w:eastAsia="Calibri" w:cs="Times New Roman"/>
                <w:sz w:val="24"/>
                <w:szCs w:val="24"/>
              </w:rPr>
              <w:t>N/A</w:t>
            </w:r>
          </w:p>
        </w:tc>
        <w:tc>
          <w:tcPr>
            <w:tcW w:w="3960" w:type="dxa"/>
          </w:tcPr>
          <w:p w14:paraId="1C00F272" w14:textId="10BF4678" w:rsidR="00C60E82" w:rsidRDefault="00E95B87" w:rsidP="0020168E">
            <w:pPr>
              <w:spacing w:after="200" w:line="276" w:lineRule="auto"/>
              <w:rPr>
                <w:rFonts w:eastAsia="Calibri" w:cs="Times New Roman"/>
                <w:sz w:val="24"/>
                <w:szCs w:val="24"/>
              </w:rPr>
            </w:pPr>
            <w:r>
              <w:rPr>
                <w:rFonts w:eastAsia="Calibri" w:cs="Times New Roman"/>
                <w:sz w:val="24"/>
                <w:szCs w:val="24"/>
              </w:rPr>
              <w:t>1</w:t>
            </w:r>
          </w:p>
        </w:tc>
      </w:tr>
      <w:bookmarkEnd w:id="2"/>
    </w:tbl>
    <w:p w14:paraId="1DD96959" w14:textId="77777777" w:rsidR="0020168E" w:rsidRPr="0020168E" w:rsidRDefault="0020168E" w:rsidP="0020168E">
      <w:pPr>
        <w:spacing w:after="200" w:line="276" w:lineRule="auto"/>
        <w:rPr>
          <w:rFonts w:eastAsia="Calibri" w:cs="Times New Roman"/>
          <w:sz w:val="24"/>
          <w:szCs w:val="24"/>
        </w:rPr>
      </w:pPr>
    </w:p>
    <w:sectPr w:rsidR="0020168E" w:rsidRPr="0020168E" w:rsidSect="00626D2D">
      <w:footerReference w:type="default" r:id="rId15"/>
      <w:footerReference w:type="first" r:id="rId16"/>
      <w:pgSz w:w="12240" w:h="15840"/>
      <w:pgMar w:top="72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ED39" w14:textId="77777777" w:rsidR="003C4831" w:rsidRDefault="003C4831" w:rsidP="00B34E6B">
      <w:r>
        <w:separator/>
      </w:r>
    </w:p>
  </w:endnote>
  <w:endnote w:type="continuationSeparator" w:id="0">
    <w:p w14:paraId="4C9293CB" w14:textId="77777777" w:rsidR="003C4831" w:rsidRDefault="003C4831" w:rsidP="00B3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CDCE" w14:textId="77777777" w:rsidR="00F34852" w:rsidRDefault="00F34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52" w14:textId="10D14E91" w:rsidR="00541D29" w:rsidRDefault="00541D29" w:rsidP="0027010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7DFD" w14:textId="7ADD7ED4" w:rsidR="00434725" w:rsidRDefault="00434725">
    <w:pPr>
      <w:pStyle w:val="Footer"/>
      <w:jc w:val="right"/>
    </w:pPr>
  </w:p>
  <w:p w14:paraId="5F4DC87E" w14:textId="77777777" w:rsidR="00434725" w:rsidRDefault="004347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037154"/>
      <w:docPartObj>
        <w:docPartGallery w:val="Page Numbers (Bottom of Page)"/>
        <w:docPartUnique/>
      </w:docPartObj>
    </w:sdtPr>
    <w:sdtEndPr>
      <w:rPr>
        <w:noProof/>
      </w:rPr>
    </w:sdtEndPr>
    <w:sdtContent>
      <w:p w14:paraId="48CE72B1" w14:textId="43249112" w:rsidR="00F34852" w:rsidRDefault="00F348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18C5C" w14:textId="77777777" w:rsidR="00434725" w:rsidRDefault="00434725" w:rsidP="0027010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98874"/>
      <w:docPartObj>
        <w:docPartGallery w:val="Page Numbers (Bottom of Page)"/>
        <w:docPartUnique/>
      </w:docPartObj>
    </w:sdtPr>
    <w:sdtEndPr>
      <w:rPr>
        <w:noProof/>
      </w:rPr>
    </w:sdtEndPr>
    <w:sdtContent>
      <w:p w14:paraId="0A825302" w14:textId="66C588E2" w:rsidR="00F34852" w:rsidRDefault="00B2656D">
        <w:pPr>
          <w:pStyle w:val="Footer"/>
          <w:jc w:val="center"/>
        </w:pPr>
      </w:p>
    </w:sdtContent>
  </w:sdt>
  <w:p w14:paraId="7D7491CB" w14:textId="77777777" w:rsidR="00434725" w:rsidRDefault="0043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5EEA" w14:textId="77777777" w:rsidR="003C4831" w:rsidRDefault="003C4831" w:rsidP="00B34E6B">
      <w:r>
        <w:separator/>
      </w:r>
    </w:p>
  </w:footnote>
  <w:footnote w:type="continuationSeparator" w:id="0">
    <w:p w14:paraId="1C0DEE95" w14:textId="77777777" w:rsidR="003C4831" w:rsidRDefault="003C4831" w:rsidP="00B3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3726" w14:textId="77777777" w:rsidR="00F34852" w:rsidRDefault="00F34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F547" w14:textId="77777777" w:rsidR="00F34852" w:rsidRDefault="00F34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3879" w14:textId="77777777" w:rsidR="00F34852" w:rsidRDefault="00F3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290"/>
    <w:multiLevelType w:val="hybridMultilevel"/>
    <w:tmpl w:val="C21E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062E"/>
    <w:multiLevelType w:val="hybridMultilevel"/>
    <w:tmpl w:val="E7B6E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B26F0"/>
    <w:multiLevelType w:val="hybridMultilevel"/>
    <w:tmpl w:val="1292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71EC9"/>
    <w:multiLevelType w:val="hybridMultilevel"/>
    <w:tmpl w:val="C7AA4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D58E0"/>
    <w:multiLevelType w:val="hybridMultilevel"/>
    <w:tmpl w:val="73A8704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CA71586"/>
    <w:multiLevelType w:val="hybridMultilevel"/>
    <w:tmpl w:val="CA48C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43282"/>
    <w:multiLevelType w:val="hybridMultilevel"/>
    <w:tmpl w:val="C3425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1D3462"/>
    <w:multiLevelType w:val="hybridMultilevel"/>
    <w:tmpl w:val="BA7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13CDE"/>
    <w:multiLevelType w:val="hybridMultilevel"/>
    <w:tmpl w:val="6F64D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0401F8"/>
    <w:multiLevelType w:val="hybridMultilevel"/>
    <w:tmpl w:val="A7226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F80C7D"/>
    <w:multiLevelType w:val="hybridMultilevel"/>
    <w:tmpl w:val="374229E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6831F6"/>
    <w:multiLevelType w:val="hybridMultilevel"/>
    <w:tmpl w:val="B994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91AE6"/>
    <w:multiLevelType w:val="hybridMultilevel"/>
    <w:tmpl w:val="2DC08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0A4BFA"/>
    <w:multiLevelType w:val="hybridMultilevel"/>
    <w:tmpl w:val="B330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20573"/>
    <w:multiLevelType w:val="hybridMultilevel"/>
    <w:tmpl w:val="BADAF1D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DC7A04"/>
    <w:multiLevelType w:val="hybridMultilevel"/>
    <w:tmpl w:val="E236B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161581"/>
    <w:multiLevelType w:val="hybridMultilevel"/>
    <w:tmpl w:val="9F14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81EE2"/>
    <w:multiLevelType w:val="hybridMultilevel"/>
    <w:tmpl w:val="7908AE2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361439"/>
    <w:multiLevelType w:val="hybridMultilevel"/>
    <w:tmpl w:val="19FE6B4A"/>
    <w:lvl w:ilvl="0" w:tplc="9E24362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40037A"/>
    <w:multiLevelType w:val="hybridMultilevel"/>
    <w:tmpl w:val="13DA1084"/>
    <w:lvl w:ilvl="0" w:tplc="9E243620">
      <w:start w:val="1"/>
      <w:numFmt w:val="bullet"/>
      <w:lvlText w:val="o"/>
      <w:lvlJc w:val="left"/>
      <w:pPr>
        <w:ind w:left="1080" w:hanging="360"/>
      </w:pPr>
      <w:rPr>
        <w:rFonts w:ascii="Courier New" w:hAnsi="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2264A3"/>
    <w:multiLevelType w:val="hybridMultilevel"/>
    <w:tmpl w:val="113A1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A62969"/>
    <w:multiLevelType w:val="hybridMultilevel"/>
    <w:tmpl w:val="D992371C"/>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80A17F0"/>
    <w:multiLevelType w:val="hybridMultilevel"/>
    <w:tmpl w:val="FD0E854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A150600"/>
    <w:multiLevelType w:val="hybridMultilevel"/>
    <w:tmpl w:val="97AC3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A260B9"/>
    <w:multiLevelType w:val="hybridMultilevel"/>
    <w:tmpl w:val="DDC0C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9B6C51"/>
    <w:multiLevelType w:val="hybridMultilevel"/>
    <w:tmpl w:val="661C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E7E83"/>
    <w:multiLevelType w:val="hybridMultilevel"/>
    <w:tmpl w:val="5AFCE9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2B65CC"/>
    <w:multiLevelType w:val="hybridMultilevel"/>
    <w:tmpl w:val="1A50DF2E"/>
    <w:lvl w:ilvl="0" w:tplc="9E243620">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8678BB"/>
    <w:multiLevelType w:val="hybridMultilevel"/>
    <w:tmpl w:val="BC06B5F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A107C81"/>
    <w:multiLevelType w:val="hybridMultilevel"/>
    <w:tmpl w:val="ECE6CF4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E527535"/>
    <w:multiLevelType w:val="hybridMultilevel"/>
    <w:tmpl w:val="384AEA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461023"/>
    <w:multiLevelType w:val="hybridMultilevel"/>
    <w:tmpl w:val="7EDC5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367D89"/>
    <w:multiLevelType w:val="hybridMultilevel"/>
    <w:tmpl w:val="6A98D82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A84CD6"/>
    <w:multiLevelType w:val="hybridMultilevel"/>
    <w:tmpl w:val="FB8E41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55B68"/>
    <w:multiLevelType w:val="hybridMultilevel"/>
    <w:tmpl w:val="F984D8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C03DA"/>
    <w:multiLevelType w:val="hybridMultilevel"/>
    <w:tmpl w:val="5DE6D960"/>
    <w:lvl w:ilvl="0" w:tplc="6C1019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94EBB"/>
    <w:multiLevelType w:val="hybridMultilevel"/>
    <w:tmpl w:val="62108E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D032A"/>
    <w:multiLevelType w:val="hybridMultilevel"/>
    <w:tmpl w:val="0994D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FC6710"/>
    <w:multiLevelType w:val="hybridMultilevel"/>
    <w:tmpl w:val="7ACEB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12109D"/>
    <w:multiLevelType w:val="hybridMultilevel"/>
    <w:tmpl w:val="0E74C31C"/>
    <w:lvl w:ilvl="0" w:tplc="9E243620">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B24B48"/>
    <w:multiLevelType w:val="hybridMultilevel"/>
    <w:tmpl w:val="C0CAB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F42BE"/>
    <w:multiLevelType w:val="hybridMultilevel"/>
    <w:tmpl w:val="2AAC5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58589012">
    <w:abstractNumId w:val="20"/>
  </w:num>
  <w:num w:numId="2" w16cid:durableId="1331324132">
    <w:abstractNumId w:val="23"/>
  </w:num>
  <w:num w:numId="3" w16cid:durableId="2035232119">
    <w:abstractNumId w:val="9"/>
  </w:num>
  <w:num w:numId="4" w16cid:durableId="1531215553">
    <w:abstractNumId w:val="6"/>
  </w:num>
  <w:num w:numId="5" w16cid:durableId="1863088763">
    <w:abstractNumId w:val="37"/>
  </w:num>
  <w:num w:numId="6" w16cid:durableId="142502612">
    <w:abstractNumId w:val="11"/>
  </w:num>
  <w:num w:numId="7" w16cid:durableId="1811438625">
    <w:abstractNumId w:val="8"/>
  </w:num>
  <w:num w:numId="8" w16cid:durableId="2147385086">
    <w:abstractNumId w:val="2"/>
  </w:num>
  <w:num w:numId="9" w16cid:durableId="447506062">
    <w:abstractNumId w:val="0"/>
  </w:num>
  <w:num w:numId="10" w16cid:durableId="1983731963">
    <w:abstractNumId w:val="39"/>
  </w:num>
  <w:num w:numId="11" w16cid:durableId="1701783728">
    <w:abstractNumId w:val="27"/>
  </w:num>
  <w:num w:numId="12" w16cid:durableId="1526291428">
    <w:abstractNumId w:val="16"/>
  </w:num>
  <w:num w:numId="13" w16cid:durableId="1864590843">
    <w:abstractNumId w:val="38"/>
  </w:num>
  <w:num w:numId="14" w16cid:durableId="765616951">
    <w:abstractNumId w:val="35"/>
  </w:num>
  <w:num w:numId="15" w16cid:durableId="10492379">
    <w:abstractNumId w:val="18"/>
  </w:num>
  <w:num w:numId="16" w16cid:durableId="1570388494">
    <w:abstractNumId w:val="32"/>
  </w:num>
  <w:num w:numId="17" w16cid:durableId="536115303">
    <w:abstractNumId w:val="19"/>
  </w:num>
  <w:num w:numId="18" w16cid:durableId="704909464">
    <w:abstractNumId w:val="22"/>
  </w:num>
  <w:num w:numId="19" w16cid:durableId="367999318">
    <w:abstractNumId w:val="31"/>
  </w:num>
  <w:num w:numId="20" w16cid:durableId="2114477494">
    <w:abstractNumId w:val="28"/>
  </w:num>
  <w:num w:numId="21" w16cid:durableId="1880698330">
    <w:abstractNumId w:val="17"/>
  </w:num>
  <w:num w:numId="22" w16cid:durableId="497161533">
    <w:abstractNumId w:val="12"/>
  </w:num>
  <w:num w:numId="23" w16cid:durableId="1168253276">
    <w:abstractNumId w:val="3"/>
  </w:num>
  <w:num w:numId="24" w16cid:durableId="626545114">
    <w:abstractNumId w:val="40"/>
  </w:num>
  <w:num w:numId="25" w16cid:durableId="1637025876">
    <w:abstractNumId w:val="7"/>
  </w:num>
  <w:num w:numId="26" w16cid:durableId="1276447834">
    <w:abstractNumId w:val="10"/>
  </w:num>
  <w:num w:numId="27" w16cid:durableId="1933931526">
    <w:abstractNumId w:val="33"/>
  </w:num>
  <w:num w:numId="28" w16cid:durableId="333847897">
    <w:abstractNumId w:val="13"/>
  </w:num>
  <w:num w:numId="29" w16cid:durableId="387264970">
    <w:abstractNumId w:val="15"/>
  </w:num>
  <w:num w:numId="30" w16cid:durableId="1272781929">
    <w:abstractNumId w:val="5"/>
  </w:num>
  <w:num w:numId="31" w16cid:durableId="1583680561">
    <w:abstractNumId w:val="34"/>
  </w:num>
  <w:num w:numId="32" w16cid:durableId="240287549">
    <w:abstractNumId w:val="30"/>
  </w:num>
  <w:num w:numId="33" w16cid:durableId="766003973">
    <w:abstractNumId w:val="41"/>
  </w:num>
  <w:num w:numId="34" w16cid:durableId="1988851498">
    <w:abstractNumId w:val="36"/>
  </w:num>
  <w:num w:numId="35" w16cid:durableId="842279982">
    <w:abstractNumId w:val="14"/>
  </w:num>
  <w:num w:numId="36" w16cid:durableId="1380083014">
    <w:abstractNumId w:val="21"/>
  </w:num>
  <w:num w:numId="37" w16cid:durableId="1742212508">
    <w:abstractNumId w:val="26"/>
  </w:num>
  <w:num w:numId="38" w16cid:durableId="2131053039">
    <w:abstractNumId w:val="25"/>
  </w:num>
  <w:num w:numId="39" w16cid:durableId="1073164660">
    <w:abstractNumId w:val="29"/>
  </w:num>
  <w:num w:numId="40" w16cid:durableId="399520252">
    <w:abstractNumId w:val="24"/>
  </w:num>
  <w:num w:numId="41" w16cid:durableId="1596554746">
    <w:abstractNumId w:val="4"/>
  </w:num>
  <w:num w:numId="42" w16cid:durableId="195536307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5D"/>
    <w:rsid w:val="000014DC"/>
    <w:rsid w:val="00021A3F"/>
    <w:rsid w:val="00027B85"/>
    <w:rsid w:val="00034D03"/>
    <w:rsid w:val="00037A85"/>
    <w:rsid w:val="00045C10"/>
    <w:rsid w:val="00047652"/>
    <w:rsid w:val="000477B0"/>
    <w:rsid w:val="00052BA7"/>
    <w:rsid w:val="00053CB1"/>
    <w:rsid w:val="00073313"/>
    <w:rsid w:val="0008017C"/>
    <w:rsid w:val="00084F27"/>
    <w:rsid w:val="000B0210"/>
    <w:rsid w:val="000C2B71"/>
    <w:rsid w:val="000D3823"/>
    <w:rsid w:val="000E157D"/>
    <w:rsid w:val="000E6093"/>
    <w:rsid w:val="00103D65"/>
    <w:rsid w:val="0010563A"/>
    <w:rsid w:val="00105E09"/>
    <w:rsid w:val="0010672E"/>
    <w:rsid w:val="0011319B"/>
    <w:rsid w:val="00117350"/>
    <w:rsid w:val="00122979"/>
    <w:rsid w:val="001236F8"/>
    <w:rsid w:val="00124526"/>
    <w:rsid w:val="00124852"/>
    <w:rsid w:val="00131C0F"/>
    <w:rsid w:val="00134634"/>
    <w:rsid w:val="00140EEB"/>
    <w:rsid w:val="001440D2"/>
    <w:rsid w:val="00146633"/>
    <w:rsid w:val="001513EC"/>
    <w:rsid w:val="00160075"/>
    <w:rsid w:val="0016120A"/>
    <w:rsid w:val="001740EA"/>
    <w:rsid w:val="001849AB"/>
    <w:rsid w:val="0019511B"/>
    <w:rsid w:val="001963F0"/>
    <w:rsid w:val="001A0703"/>
    <w:rsid w:val="001A4C52"/>
    <w:rsid w:val="001A4EA5"/>
    <w:rsid w:val="001A51B3"/>
    <w:rsid w:val="001A5E4E"/>
    <w:rsid w:val="001A6212"/>
    <w:rsid w:val="001B05D0"/>
    <w:rsid w:val="001B2B43"/>
    <w:rsid w:val="001B3123"/>
    <w:rsid w:val="001B42B6"/>
    <w:rsid w:val="001D43FE"/>
    <w:rsid w:val="001D70C5"/>
    <w:rsid w:val="001E41B3"/>
    <w:rsid w:val="001E5013"/>
    <w:rsid w:val="001E79E4"/>
    <w:rsid w:val="001F17AC"/>
    <w:rsid w:val="001F4BF6"/>
    <w:rsid w:val="0020168E"/>
    <w:rsid w:val="002033F0"/>
    <w:rsid w:val="00206FEA"/>
    <w:rsid w:val="002074E9"/>
    <w:rsid w:val="00210A0A"/>
    <w:rsid w:val="00225470"/>
    <w:rsid w:val="002376C7"/>
    <w:rsid w:val="0025578E"/>
    <w:rsid w:val="0027010F"/>
    <w:rsid w:val="00270FF8"/>
    <w:rsid w:val="00275637"/>
    <w:rsid w:val="0027797A"/>
    <w:rsid w:val="002A3B82"/>
    <w:rsid w:val="002A6CB1"/>
    <w:rsid w:val="002B53F5"/>
    <w:rsid w:val="002D1A2A"/>
    <w:rsid w:val="002D1AE1"/>
    <w:rsid w:val="002D1B59"/>
    <w:rsid w:val="002D2D83"/>
    <w:rsid w:val="002E35E2"/>
    <w:rsid w:val="002E452A"/>
    <w:rsid w:val="002F03E5"/>
    <w:rsid w:val="002F3613"/>
    <w:rsid w:val="002F542C"/>
    <w:rsid w:val="002F5F5D"/>
    <w:rsid w:val="00320148"/>
    <w:rsid w:val="0032350A"/>
    <w:rsid w:val="00330BCB"/>
    <w:rsid w:val="00335DB0"/>
    <w:rsid w:val="00335F3C"/>
    <w:rsid w:val="00337472"/>
    <w:rsid w:val="003439CD"/>
    <w:rsid w:val="00372327"/>
    <w:rsid w:val="00381DF2"/>
    <w:rsid w:val="00383A3F"/>
    <w:rsid w:val="003840E3"/>
    <w:rsid w:val="003875EE"/>
    <w:rsid w:val="00391B5A"/>
    <w:rsid w:val="0039631C"/>
    <w:rsid w:val="003C3C0C"/>
    <w:rsid w:val="003C4831"/>
    <w:rsid w:val="003D4738"/>
    <w:rsid w:val="003E4FB5"/>
    <w:rsid w:val="00402788"/>
    <w:rsid w:val="00434725"/>
    <w:rsid w:val="00435C94"/>
    <w:rsid w:val="00450530"/>
    <w:rsid w:val="00451019"/>
    <w:rsid w:val="00457BC1"/>
    <w:rsid w:val="00464035"/>
    <w:rsid w:val="00467B6C"/>
    <w:rsid w:val="004A7D0A"/>
    <w:rsid w:val="004B1BB3"/>
    <w:rsid w:val="004B60B2"/>
    <w:rsid w:val="004C04E9"/>
    <w:rsid w:val="004D706E"/>
    <w:rsid w:val="004E417D"/>
    <w:rsid w:val="004E6E90"/>
    <w:rsid w:val="005022DA"/>
    <w:rsid w:val="00504C9D"/>
    <w:rsid w:val="00506F76"/>
    <w:rsid w:val="00512F0C"/>
    <w:rsid w:val="00515429"/>
    <w:rsid w:val="00515CF3"/>
    <w:rsid w:val="00516D14"/>
    <w:rsid w:val="00520F24"/>
    <w:rsid w:val="00522E11"/>
    <w:rsid w:val="00523E13"/>
    <w:rsid w:val="005303A5"/>
    <w:rsid w:val="0053218F"/>
    <w:rsid w:val="00533B19"/>
    <w:rsid w:val="00536386"/>
    <w:rsid w:val="00540756"/>
    <w:rsid w:val="00541B9C"/>
    <w:rsid w:val="00541D29"/>
    <w:rsid w:val="005905C0"/>
    <w:rsid w:val="00591181"/>
    <w:rsid w:val="005A3311"/>
    <w:rsid w:val="005C22A8"/>
    <w:rsid w:val="005C2894"/>
    <w:rsid w:val="005C475A"/>
    <w:rsid w:val="005D2FA9"/>
    <w:rsid w:val="005D5326"/>
    <w:rsid w:val="005F41A7"/>
    <w:rsid w:val="005F5844"/>
    <w:rsid w:val="005F62C1"/>
    <w:rsid w:val="00601CA6"/>
    <w:rsid w:val="0060475B"/>
    <w:rsid w:val="00607382"/>
    <w:rsid w:val="00611E19"/>
    <w:rsid w:val="0061223D"/>
    <w:rsid w:val="00613160"/>
    <w:rsid w:val="00621560"/>
    <w:rsid w:val="00626D2D"/>
    <w:rsid w:val="0062788D"/>
    <w:rsid w:val="00647F7B"/>
    <w:rsid w:val="00673C16"/>
    <w:rsid w:val="0068175D"/>
    <w:rsid w:val="00684E57"/>
    <w:rsid w:val="006920D6"/>
    <w:rsid w:val="006A02E1"/>
    <w:rsid w:val="006A296F"/>
    <w:rsid w:val="006A3248"/>
    <w:rsid w:val="006A78FE"/>
    <w:rsid w:val="006C0458"/>
    <w:rsid w:val="006C3CEC"/>
    <w:rsid w:val="006C4948"/>
    <w:rsid w:val="006C51D4"/>
    <w:rsid w:val="006D3260"/>
    <w:rsid w:val="006D5305"/>
    <w:rsid w:val="006D572D"/>
    <w:rsid w:val="006E0E7A"/>
    <w:rsid w:val="006E1DC7"/>
    <w:rsid w:val="006E2DEE"/>
    <w:rsid w:val="006F47A7"/>
    <w:rsid w:val="00710A4B"/>
    <w:rsid w:val="007362F3"/>
    <w:rsid w:val="00744DC7"/>
    <w:rsid w:val="00746A80"/>
    <w:rsid w:val="00747864"/>
    <w:rsid w:val="00751251"/>
    <w:rsid w:val="00751759"/>
    <w:rsid w:val="00752AB3"/>
    <w:rsid w:val="00753DAB"/>
    <w:rsid w:val="00756885"/>
    <w:rsid w:val="00762503"/>
    <w:rsid w:val="00762D8B"/>
    <w:rsid w:val="007636F2"/>
    <w:rsid w:val="00764019"/>
    <w:rsid w:val="00766D9F"/>
    <w:rsid w:val="00767D32"/>
    <w:rsid w:val="00786849"/>
    <w:rsid w:val="007A04BF"/>
    <w:rsid w:val="007A2EC5"/>
    <w:rsid w:val="007A6567"/>
    <w:rsid w:val="007B6C73"/>
    <w:rsid w:val="007B7AF7"/>
    <w:rsid w:val="007C4CFF"/>
    <w:rsid w:val="007D4197"/>
    <w:rsid w:val="007E3B64"/>
    <w:rsid w:val="007F532B"/>
    <w:rsid w:val="00810B03"/>
    <w:rsid w:val="00813E27"/>
    <w:rsid w:val="00814B1B"/>
    <w:rsid w:val="00814E7C"/>
    <w:rsid w:val="00821D04"/>
    <w:rsid w:val="00830CFA"/>
    <w:rsid w:val="0084025F"/>
    <w:rsid w:val="008429FE"/>
    <w:rsid w:val="00846000"/>
    <w:rsid w:val="00854380"/>
    <w:rsid w:val="0086633D"/>
    <w:rsid w:val="00870D1F"/>
    <w:rsid w:val="0087155F"/>
    <w:rsid w:val="00875CC7"/>
    <w:rsid w:val="0088663E"/>
    <w:rsid w:val="00887EA8"/>
    <w:rsid w:val="0089298A"/>
    <w:rsid w:val="00895E45"/>
    <w:rsid w:val="008A14E2"/>
    <w:rsid w:val="008C301C"/>
    <w:rsid w:val="008C4DDF"/>
    <w:rsid w:val="008C7F56"/>
    <w:rsid w:val="008D6FA6"/>
    <w:rsid w:val="008E047E"/>
    <w:rsid w:val="008E1F50"/>
    <w:rsid w:val="008E6860"/>
    <w:rsid w:val="008F7009"/>
    <w:rsid w:val="00903CB8"/>
    <w:rsid w:val="00923D21"/>
    <w:rsid w:val="00925C16"/>
    <w:rsid w:val="00927B09"/>
    <w:rsid w:val="00931B84"/>
    <w:rsid w:val="009322B4"/>
    <w:rsid w:val="009332F9"/>
    <w:rsid w:val="0094112E"/>
    <w:rsid w:val="00953279"/>
    <w:rsid w:val="00966438"/>
    <w:rsid w:val="00975C34"/>
    <w:rsid w:val="00975D65"/>
    <w:rsid w:val="00980534"/>
    <w:rsid w:val="00983E60"/>
    <w:rsid w:val="00992369"/>
    <w:rsid w:val="009A5247"/>
    <w:rsid w:val="009A7D51"/>
    <w:rsid w:val="009C2FD5"/>
    <w:rsid w:val="009C34A5"/>
    <w:rsid w:val="009C5546"/>
    <w:rsid w:val="009C562C"/>
    <w:rsid w:val="009C7BBA"/>
    <w:rsid w:val="009D0AD3"/>
    <w:rsid w:val="009D39DB"/>
    <w:rsid w:val="009D52E2"/>
    <w:rsid w:val="009E46AA"/>
    <w:rsid w:val="009F1CC1"/>
    <w:rsid w:val="009F7908"/>
    <w:rsid w:val="00A14E09"/>
    <w:rsid w:val="00A17FA5"/>
    <w:rsid w:val="00A220E4"/>
    <w:rsid w:val="00A23E5B"/>
    <w:rsid w:val="00A262F3"/>
    <w:rsid w:val="00A30ECB"/>
    <w:rsid w:val="00A31E69"/>
    <w:rsid w:val="00A32BAB"/>
    <w:rsid w:val="00A359B8"/>
    <w:rsid w:val="00A50344"/>
    <w:rsid w:val="00A52663"/>
    <w:rsid w:val="00A5454B"/>
    <w:rsid w:val="00A565E7"/>
    <w:rsid w:val="00A61EA1"/>
    <w:rsid w:val="00A670AE"/>
    <w:rsid w:val="00A72DB3"/>
    <w:rsid w:val="00A84146"/>
    <w:rsid w:val="00A84CDB"/>
    <w:rsid w:val="00A8563D"/>
    <w:rsid w:val="00A91290"/>
    <w:rsid w:val="00A933FD"/>
    <w:rsid w:val="00A94747"/>
    <w:rsid w:val="00A94D7E"/>
    <w:rsid w:val="00A97D88"/>
    <w:rsid w:val="00AA13FA"/>
    <w:rsid w:val="00AB3B5A"/>
    <w:rsid w:val="00AC1424"/>
    <w:rsid w:val="00AC7295"/>
    <w:rsid w:val="00AC795D"/>
    <w:rsid w:val="00AD106E"/>
    <w:rsid w:val="00AE7A44"/>
    <w:rsid w:val="00AF09D1"/>
    <w:rsid w:val="00B14F32"/>
    <w:rsid w:val="00B228D7"/>
    <w:rsid w:val="00B2656D"/>
    <w:rsid w:val="00B26BD0"/>
    <w:rsid w:val="00B31DFF"/>
    <w:rsid w:val="00B33A30"/>
    <w:rsid w:val="00B34E6B"/>
    <w:rsid w:val="00B36A72"/>
    <w:rsid w:val="00B457AB"/>
    <w:rsid w:val="00B4776D"/>
    <w:rsid w:val="00B6247E"/>
    <w:rsid w:val="00B632BE"/>
    <w:rsid w:val="00B66F98"/>
    <w:rsid w:val="00B91690"/>
    <w:rsid w:val="00B96473"/>
    <w:rsid w:val="00BA57C7"/>
    <w:rsid w:val="00BA66A3"/>
    <w:rsid w:val="00BC3BD6"/>
    <w:rsid w:val="00BD0DFF"/>
    <w:rsid w:val="00BD266D"/>
    <w:rsid w:val="00BD3FA1"/>
    <w:rsid w:val="00BD6F40"/>
    <w:rsid w:val="00BE3477"/>
    <w:rsid w:val="00BE5256"/>
    <w:rsid w:val="00BF53A5"/>
    <w:rsid w:val="00C0697B"/>
    <w:rsid w:val="00C12F8E"/>
    <w:rsid w:val="00C25C81"/>
    <w:rsid w:val="00C3292C"/>
    <w:rsid w:val="00C41475"/>
    <w:rsid w:val="00C51F82"/>
    <w:rsid w:val="00C53023"/>
    <w:rsid w:val="00C56188"/>
    <w:rsid w:val="00C576E9"/>
    <w:rsid w:val="00C57ABB"/>
    <w:rsid w:val="00C60E82"/>
    <w:rsid w:val="00C630A0"/>
    <w:rsid w:val="00C73610"/>
    <w:rsid w:val="00C76FFC"/>
    <w:rsid w:val="00C86D32"/>
    <w:rsid w:val="00CA0E2D"/>
    <w:rsid w:val="00CA4514"/>
    <w:rsid w:val="00CB2C8F"/>
    <w:rsid w:val="00CB4BC9"/>
    <w:rsid w:val="00CB55CB"/>
    <w:rsid w:val="00CD23FE"/>
    <w:rsid w:val="00CD35F4"/>
    <w:rsid w:val="00CD5DE6"/>
    <w:rsid w:val="00CD5E0A"/>
    <w:rsid w:val="00CE2AAE"/>
    <w:rsid w:val="00CE2BF3"/>
    <w:rsid w:val="00CE2F40"/>
    <w:rsid w:val="00CE3F70"/>
    <w:rsid w:val="00CE66FE"/>
    <w:rsid w:val="00CF2F53"/>
    <w:rsid w:val="00D0157A"/>
    <w:rsid w:val="00D11C56"/>
    <w:rsid w:val="00D14D82"/>
    <w:rsid w:val="00D15546"/>
    <w:rsid w:val="00D1718F"/>
    <w:rsid w:val="00D32E0C"/>
    <w:rsid w:val="00D34389"/>
    <w:rsid w:val="00D3470E"/>
    <w:rsid w:val="00D452D0"/>
    <w:rsid w:val="00D4539A"/>
    <w:rsid w:val="00D51411"/>
    <w:rsid w:val="00D6007C"/>
    <w:rsid w:val="00D67753"/>
    <w:rsid w:val="00D74FE4"/>
    <w:rsid w:val="00D774AC"/>
    <w:rsid w:val="00D85456"/>
    <w:rsid w:val="00DA672E"/>
    <w:rsid w:val="00DC2DA2"/>
    <w:rsid w:val="00DC5AA6"/>
    <w:rsid w:val="00DC7559"/>
    <w:rsid w:val="00DD048F"/>
    <w:rsid w:val="00DD1FB7"/>
    <w:rsid w:val="00DD2C3D"/>
    <w:rsid w:val="00DD37AB"/>
    <w:rsid w:val="00DD5A5E"/>
    <w:rsid w:val="00DD7AFF"/>
    <w:rsid w:val="00DD7CBF"/>
    <w:rsid w:val="00DE0B14"/>
    <w:rsid w:val="00DE1394"/>
    <w:rsid w:val="00DE7B51"/>
    <w:rsid w:val="00DF04EC"/>
    <w:rsid w:val="00DF3A3F"/>
    <w:rsid w:val="00E06EEB"/>
    <w:rsid w:val="00E229B8"/>
    <w:rsid w:val="00E36B37"/>
    <w:rsid w:val="00E454F7"/>
    <w:rsid w:val="00E46A15"/>
    <w:rsid w:val="00E5043F"/>
    <w:rsid w:val="00E718C6"/>
    <w:rsid w:val="00E737FD"/>
    <w:rsid w:val="00E75A41"/>
    <w:rsid w:val="00E838CE"/>
    <w:rsid w:val="00E90E65"/>
    <w:rsid w:val="00E95B87"/>
    <w:rsid w:val="00E968EC"/>
    <w:rsid w:val="00EA3500"/>
    <w:rsid w:val="00EC7E01"/>
    <w:rsid w:val="00ED3398"/>
    <w:rsid w:val="00EE0409"/>
    <w:rsid w:val="00EE4469"/>
    <w:rsid w:val="00EE7FE9"/>
    <w:rsid w:val="00F00800"/>
    <w:rsid w:val="00F02A69"/>
    <w:rsid w:val="00F047D8"/>
    <w:rsid w:val="00F27E57"/>
    <w:rsid w:val="00F30EA1"/>
    <w:rsid w:val="00F32FB9"/>
    <w:rsid w:val="00F34852"/>
    <w:rsid w:val="00F356E1"/>
    <w:rsid w:val="00F36D60"/>
    <w:rsid w:val="00F3715D"/>
    <w:rsid w:val="00F53A93"/>
    <w:rsid w:val="00F63C54"/>
    <w:rsid w:val="00F71565"/>
    <w:rsid w:val="00F90199"/>
    <w:rsid w:val="00FA6BA5"/>
    <w:rsid w:val="00FA7819"/>
    <w:rsid w:val="00FB14F4"/>
    <w:rsid w:val="00FC1F7E"/>
    <w:rsid w:val="00FD363A"/>
    <w:rsid w:val="00FD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36B9C"/>
  <w15:chartTrackingRefBased/>
  <w15:docId w15:val="{BE77E1D5-B479-4839-839F-2E02CC06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15D"/>
    <w:pPr>
      <w:ind w:left="720"/>
      <w:contextualSpacing/>
    </w:pPr>
  </w:style>
  <w:style w:type="paragraph" w:styleId="Header">
    <w:name w:val="header"/>
    <w:basedOn w:val="Normal"/>
    <w:link w:val="HeaderChar"/>
    <w:uiPriority w:val="99"/>
    <w:unhideWhenUsed/>
    <w:rsid w:val="00B34E6B"/>
    <w:pPr>
      <w:tabs>
        <w:tab w:val="center" w:pos="4680"/>
        <w:tab w:val="right" w:pos="9360"/>
      </w:tabs>
    </w:pPr>
  </w:style>
  <w:style w:type="character" w:customStyle="1" w:styleId="HeaderChar">
    <w:name w:val="Header Char"/>
    <w:basedOn w:val="DefaultParagraphFont"/>
    <w:link w:val="Header"/>
    <w:uiPriority w:val="99"/>
    <w:rsid w:val="00B34E6B"/>
  </w:style>
  <w:style w:type="paragraph" w:styleId="Footer">
    <w:name w:val="footer"/>
    <w:basedOn w:val="Normal"/>
    <w:link w:val="FooterChar"/>
    <w:uiPriority w:val="99"/>
    <w:unhideWhenUsed/>
    <w:rsid w:val="00B34E6B"/>
    <w:pPr>
      <w:tabs>
        <w:tab w:val="center" w:pos="4680"/>
        <w:tab w:val="right" w:pos="9360"/>
      </w:tabs>
    </w:pPr>
  </w:style>
  <w:style w:type="character" w:customStyle="1" w:styleId="FooterChar">
    <w:name w:val="Footer Char"/>
    <w:basedOn w:val="DefaultParagraphFont"/>
    <w:link w:val="Footer"/>
    <w:uiPriority w:val="99"/>
    <w:rsid w:val="00B34E6B"/>
  </w:style>
  <w:style w:type="paragraph" w:styleId="BalloonText">
    <w:name w:val="Balloon Text"/>
    <w:basedOn w:val="Normal"/>
    <w:link w:val="BalloonTextChar"/>
    <w:uiPriority w:val="99"/>
    <w:semiHidden/>
    <w:unhideWhenUsed/>
    <w:rsid w:val="002F5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F5D"/>
    <w:rPr>
      <w:rFonts w:ascii="Segoe UI" w:hAnsi="Segoe UI" w:cs="Segoe UI"/>
      <w:sz w:val="18"/>
      <w:szCs w:val="18"/>
    </w:rPr>
  </w:style>
  <w:style w:type="paragraph" w:styleId="BodyText">
    <w:name w:val="Body Text"/>
    <w:basedOn w:val="Normal"/>
    <w:link w:val="BodyTextChar"/>
    <w:uiPriority w:val="99"/>
    <w:semiHidden/>
    <w:unhideWhenUsed/>
    <w:rsid w:val="0019511B"/>
    <w:pPr>
      <w:spacing w:after="120"/>
    </w:pPr>
  </w:style>
  <w:style w:type="character" w:customStyle="1" w:styleId="BodyTextChar">
    <w:name w:val="Body Text Char"/>
    <w:basedOn w:val="DefaultParagraphFont"/>
    <w:link w:val="BodyText"/>
    <w:uiPriority w:val="99"/>
    <w:semiHidden/>
    <w:rsid w:val="0019511B"/>
  </w:style>
  <w:style w:type="paragraph" w:styleId="HTMLPreformatted">
    <w:name w:val="HTML Preformatted"/>
    <w:basedOn w:val="Normal"/>
    <w:link w:val="HTMLPreformattedChar"/>
    <w:uiPriority w:val="99"/>
    <w:semiHidden/>
    <w:unhideWhenUsed/>
    <w:rsid w:val="00A94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4D7E"/>
    <w:rPr>
      <w:rFonts w:ascii="Courier New" w:eastAsia="Times New Roman" w:hAnsi="Courier New" w:cs="Courier New"/>
      <w:sz w:val="20"/>
      <w:szCs w:val="20"/>
    </w:rPr>
  </w:style>
  <w:style w:type="paragraph" w:styleId="NoSpacing">
    <w:name w:val="No Spacing"/>
    <w:link w:val="NoSpacingChar"/>
    <w:uiPriority w:val="1"/>
    <w:qFormat/>
    <w:rsid w:val="00A94D7E"/>
    <w:rPr>
      <w:rFonts w:asciiTheme="minorHAnsi" w:hAnsiTheme="minorHAnsi"/>
    </w:rPr>
  </w:style>
  <w:style w:type="table" w:styleId="TableGrid">
    <w:name w:val="Table Grid"/>
    <w:basedOn w:val="TableNormal"/>
    <w:uiPriority w:val="39"/>
    <w:rsid w:val="00103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F56"/>
    <w:rPr>
      <w:color w:val="0563C1" w:themeColor="hyperlink"/>
      <w:u w:val="single"/>
    </w:rPr>
  </w:style>
  <w:style w:type="paragraph" w:styleId="EndnoteText">
    <w:name w:val="endnote text"/>
    <w:basedOn w:val="Normal"/>
    <w:link w:val="EndnoteTextChar"/>
    <w:uiPriority w:val="99"/>
    <w:semiHidden/>
    <w:unhideWhenUsed/>
    <w:rsid w:val="00B36A72"/>
    <w:rPr>
      <w:rFonts w:ascii="Calibri" w:hAnsi="Calibri"/>
      <w:sz w:val="20"/>
      <w:szCs w:val="20"/>
    </w:rPr>
  </w:style>
  <w:style w:type="character" w:customStyle="1" w:styleId="EndnoteTextChar">
    <w:name w:val="Endnote Text Char"/>
    <w:basedOn w:val="DefaultParagraphFont"/>
    <w:link w:val="EndnoteText"/>
    <w:uiPriority w:val="99"/>
    <w:semiHidden/>
    <w:rsid w:val="00B36A72"/>
    <w:rPr>
      <w:rFonts w:ascii="Calibri" w:hAnsi="Calibri"/>
      <w:sz w:val="20"/>
      <w:szCs w:val="20"/>
    </w:rPr>
  </w:style>
  <w:style w:type="character" w:styleId="EndnoteReference">
    <w:name w:val="endnote reference"/>
    <w:basedOn w:val="DefaultParagraphFont"/>
    <w:uiPriority w:val="99"/>
    <w:semiHidden/>
    <w:unhideWhenUsed/>
    <w:rsid w:val="00B36A72"/>
    <w:rPr>
      <w:vertAlign w:val="superscript"/>
    </w:rPr>
  </w:style>
  <w:style w:type="character" w:customStyle="1" w:styleId="NoSpacingChar">
    <w:name w:val="No Spacing Char"/>
    <w:basedOn w:val="DefaultParagraphFont"/>
    <w:link w:val="NoSpacing"/>
    <w:uiPriority w:val="1"/>
    <w:rsid w:val="00034D03"/>
    <w:rPr>
      <w:rFonts w:asciiTheme="minorHAnsi" w:hAnsiTheme="minorHAnsi"/>
    </w:rPr>
  </w:style>
  <w:style w:type="paragraph" w:customStyle="1" w:styleId="scemptyline">
    <w:name w:val="scemptyline"/>
    <w:basedOn w:val="Normal"/>
    <w:rsid w:val="001740EA"/>
    <w:pPr>
      <w:spacing w:before="100" w:beforeAutospacing="1" w:after="100" w:afterAutospacing="1"/>
    </w:pPr>
    <w:rPr>
      <w:rFonts w:eastAsia="Times New Roman" w:cs="Times New Roman"/>
      <w:sz w:val="24"/>
      <w:szCs w:val="24"/>
    </w:rPr>
  </w:style>
  <w:style w:type="paragraph" w:customStyle="1" w:styleId="sccodifiedsection">
    <w:name w:val="sccodifiedsection"/>
    <w:basedOn w:val="Normal"/>
    <w:rsid w:val="001740EA"/>
    <w:pPr>
      <w:spacing w:before="100" w:beforeAutospacing="1" w:after="100" w:afterAutospacing="1"/>
    </w:pPr>
    <w:rPr>
      <w:rFonts w:eastAsia="Times New Roman" w:cs="Times New Roman"/>
      <w:sz w:val="24"/>
      <w:szCs w:val="24"/>
    </w:rPr>
  </w:style>
  <w:style w:type="character" w:customStyle="1" w:styleId="scstrike">
    <w:name w:val="scstrike"/>
    <w:basedOn w:val="DefaultParagraphFont"/>
    <w:rsid w:val="001740EA"/>
  </w:style>
  <w:style w:type="character" w:customStyle="1" w:styleId="scinsert">
    <w:name w:val="scinsert"/>
    <w:basedOn w:val="DefaultParagraphFont"/>
    <w:rsid w:val="001740EA"/>
  </w:style>
  <w:style w:type="character" w:styleId="CommentReference">
    <w:name w:val="annotation reference"/>
    <w:basedOn w:val="DefaultParagraphFont"/>
    <w:uiPriority w:val="99"/>
    <w:semiHidden/>
    <w:unhideWhenUsed/>
    <w:rsid w:val="001740EA"/>
    <w:rPr>
      <w:sz w:val="16"/>
      <w:szCs w:val="16"/>
    </w:rPr>
  </w:style>
  <w:style w:type="paragraph" w:styleId="CommentText">
    <w:name w:val="annotation text"/>
    <w:basedOn w:val="Normal"/>
    <w:link w:val="CommentTextChar"/>
    <w:uiPriority w:val="99"/>
    <w:unhideWhenUsed/>
    <w:rsid w:val="001740EA"/>
    <w:rPr>
      <w:sz w:val="20"/>
      <w:szCs w:val="20"/>
    </w:rPr>
  </w:style>
  <w:style w:type="character" w:customStyle="1" w:styleId="CommentTextChar">
    <w:name w:val="Comment Text Char"/>
    <w:basedOn w:val="DefaultParagraphFont"/>
    <w:link w:val="CommentText"/>
    <w:uiPriority w:val="99"/>
    <w:rsid w:val="001740EA"/>
    <w:rPr>
      <w:sz w:val="20"/>
      <w:szCs w:val="20"/>
    </w:rPr>
  </w:style>
  <w:style w:type="paragraph" w:customStyle="1" w:styleId="yiv2924964467msonormal">
    <w:name w:val="yiv2924964467msonormal"/>
    <w:basedOn w:val="Normal"/>
    <w:rsid w:val="00895E45"/>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6016">
      <w:bodyDiv w:val="1"/>
      <w:marLeft w:val="0"/>
      <w:marRight w:val="0"/>
      <w:marTop w:val="0"/>
      <w:marBottom w:val="0"/>
      <w:divBdr>
        <w:top w:val="none" w:sz="0" w:space="0" w:color="auto"/>
        <w:left w:val="none" w:sz="0" w:space="0" w:color="auto"/>
        <w:bottom w:val="none" w:sz="0" w:space="0" w:color="auto"/>
        <w:right w:val="none" w:sz="0" w:space="0" w:color="auto"/>
      </w:divBdr>
    </w:div>
    <w:div w:id="84033742">
      <w:bodyDiv w:val="1"/>
      <w:marLeft w:val="0"/>
      <w:marRight w:val="0"/>
      <w:marTop w:val="0"/>
      <w:marBottom w:val="0"/>
      <w:divBdr>
        <w:top w:val="none" w:sz="0" w:space="0" w:color="auto"/>
        <w:left w:val="none" w:sz="0" w:space="0" w:color="auto"/>
        <w:bottom w:val="none" w:sz="0" w:space="0" w:color="auto"/>
        <w:right w:val="none" w:sz="0" w:space="0" w:color="auto"/>
      </w:divBdr>
    </w:div>
    <w:div w:id="88350955">
      <w:bodyDiv w:val="1"/>
      <w:marLeft w:val="0"/>
      <w:marRight w:val="0"/>
      <w:marTop w:val="0"/>
      <w:marBottom w:val="0"/>
      <w:divBdr>
        <w:top w:val="none" w:sz="0" w:space="0" w:color="auto"/>
        <w:left w:val="none" w:sz="0" w:space="0" w:color="auto"/>
        <w:bottom w:val="none" w:sz="0" w:space="0" w:color="auto"/>
        <w:right w:val="none" w:sz="0" w:space="0" w:color="auto"/>
      </w:divBdr>
    </w:div>
    <w:div w:id="117988410">
      <w:bodyDiv w:val="1"/>
      <w:marLeft w:val="0"/>
      <w:marRight w:val="0"/>
      <w:marTop w:val="0"/>
      <w:marBottom w:val="0"/>
      <w:divBdr>
        <w:top w:val="none" w:sz="0" w:space="0" w:color="auto"/>
        <w:left w:val="none" w:sz="0" w:space="0" w:color="auto"/>
        <w:bottom w:val="none" w:sz="0" w:space="0" w:color="auto"/>
        <w:right w:val="none" w:sz="0" w:space="0" w:color="auto"/>
      </w:divBdr>
    </w:div>
    <w:div w:id="118957717">
      <w:bodyDiv w:val="1"/>
      <w:marLeft w:val="0"/>
      <w:marRight w:val="0"/>
      <w:marTop w:val="0"/>
      <w:marBottom w:val="0"/>
      <w:divBdr>
        <w:top w:val="none" w:sz="0" w:space="0" w:color="auto"/>
        <w:left w:val="none" w:sz="0" w:space="0" w:color="auto"/>
        <w:bottom w:val="none" w:sz="0" w:space="0" w:color="auto"/>
        <w:right w:val="none" w:sz="0" w:space="0" w:color="auto"/>
      </w:divBdr>
    </w:div>
    <w:div w:id="124352623">
      <w:bodyDiv w:val="1"/>
      <w:marLeft w:val="0"/>
      <w:marRight w:val="0"/>
      <w:marTop w:val="0"/>
      <w:marBottom w:val="0"/>
      <w:divBdr>
        <w:top w:val="none" w:sz="0" w:space="0" w:color="auto"/>
        <w:left w:val="none" w:sz="0" w:space="0" w:color="auto"/>
        <w:bottom w:val="none" w:sz="0" w:space="0" w:color="auto"/>
        <w:right w:val="none" w:sz="0" w:space="0" w:color="auto"/>
      </w:divBdr>
    </w:div>
    <w:div w:id="316571411">
      <w:bodyDiv w:val="1"/>
      <w:marLeft w:val="0"/>
      <w:marRight w:val="0"/>
      <w:marTop w:val="0"/>
      <w:marBottom w:val="0"/>
      <w:divBdr>
        <w:top w:val="none" w:sz="0" w:space="0" w:color="auto"/>
        <w:left w:val="none" w:sz="0" w:space="0" w:color="auto"/>
        <w:bottom w:val="none" w:sz="0" w:space="0" w:color="auto"/>
        <w:right w:val="none" w:sz="0" w:space="0" w:color="auto"/>
      </w:divBdr>
    </w:div>
    <w:div w:id="506408327">
      <w:bodyDiv w:val="1"/>
      <w:marLeft w:val="0"/>
      <w:marRight w:val="0"/>
      <w:marTop w:val="0"/>
      <w:marBottom w:val="0"/>
      <w:divBdr>
        <w:top w:val="none" w:sz="0" w:space="0" w:color="auto"/>
        <w:left w:val="none" w:sz="0" w:space="0" w:color="auto"/>
        <w:bottom w:val="none" w:sz="0" w:space="0" w:color="auto"/>
        <w:right w:val="none" w:sz="0" w:space="0" w:color="auto"/>
      </w:divBdr>
    </w:div>
    <w:div w:id="638341476">
      <w:bodyDiv w:val="1"/>
      <w:marLeft w:val="0"/>
      <w:marRight w:val="0"/>
      <w:marTop w:val="0"/>
      <w:marBottom w:val="0"/>
      <w:divBdr>
        <w:top w:val="none" w:sz="0" w:space="0" w:color="auto"/>
        <w:left w:val="none" w:sz="0" w:space="0" w:color="auto"/>
        <w:bottom w:val="none" w:sz="0" w:space="0" w:color="auto"/>
        <w:right w:val="none" w:sz="0" w:space="0" w:color="auto"/>
      </w:divBdr>
    </w:div>
    <w:div w:id="656298919">
      <w:bodyDiv w:val="1"/>
      <w:marLeft w:val="0"/>
      <w:marRight w:val="0"/>
      <w:marTop w:val="0"/>
      <w:marBottom w:val="0"/>
      <w:divBdr>
        <w:top w:val="none" w:sz="0" w:space="0" w:color="auto"/>
        <w:left w:val="none" w:sz="0" w:space="0" w:color="auto"/>
        <w:bottom w:val="none" w:sz="0" w:space="0" w:color="auto"/>
        <w:right w:val="none" w:sz="0" w:space="0" w:color="auto"/>
      </w:divBdr>
    </w:div>
    <w:div w:id="674304621">
      <w:bodyDiv w:val="1"/>
      <w:marLeft w:val="0"/>
      <w:marRight w:val="0"/>
      <w:marTop w:val="0"/>
      <w:marBottom w:val="0"/>
      <w:divBdr>
        <w:top w:val="none" w:sz="0" w:space="0" w:color="auto"/>
        <w:left w:val="none" w:sz="0" w:space="0" w:color="auto"/>
        <w:bottom w:val="none" w:sz="0" w:space="0" w:color="auto"/>
        <w:right w:val="none" w:sz="0" w:space="0" w:color="auto"/>
      </w:divBdr>
    </w:div>
    <w:div w:id="770048669">
      <w:bodyDiv w:val="1"/>
      <w:marLeft w:val="0"/>
      <w:marRight w:val="0"/>
      <w:marTop w:val="0"/>
      <w:marBottom w:val="0"/>
      <w:divBdr>
        <w:top w:val="none" w:sz="0" w:space="0" w:color="auto"/>
        <w:left w:val="none" w:sz="0" w:space="0" w:color="auto"/>
        <w:bottom w:val="none" w:sz="0" w:space="0" w:color="auto"/>
        <w:right w:val="none" w:sz="0" w:space="0" w:color="auto"/>
      </w:divBdr>
    </w:div>
    <w:div w:id="791704132">
      <w:bodyDiv w:val="1"/>
      <w:marLeft w:val="0"/>
      <w:marRight w:val="0"/>
      <w:marTop w:val="0"/>
      <w:marBottom w:val="0"/>
      <w:divBdr>
        <w:top w:val="none" w:sz="0" w:space="0" w:color="auto"/>
        <w:left w:val="none" w:sz="0" w:space="0" w:color="auto"/>
        <w:bottom w:val="none" w:sz="0" w:space="0" w:color="auto"/>
        <w:right w:val="none" w:sz="0" w:space="0" w:color="auto"/>
      </w:divBdr>
    </w:div>
    <w:div w:id="852843273">
      <w:bodyDiv w:val="1"/>
      <w:marLeft w:val="0"/>
      <w:marRight w:val="0"/>
      <w:marTop w:val="0"/>
      <w:marBottom w:val="0"/>
      <w:divBdr>
        <w:top w:val="none" w:sz="0" w:space="0" w:color="auto"/>
        <w:left w:val="none" w:sz="0" w:space="0" w:color="auto"/>
        <w:bottom w:val="none" w:sz="0" w:space="0" w:color="auto"/>
        <w:right w:val="none" w:sz="0" w:space="0" w:color="auto"/>
      </w:divBdr>
    </w:div>
    <w:div w:id="863984366">
      <w:bodyDiv w:val="1"/>
      <w:marLeft w:val="0"/>
      <w:marRight w:val="0"/>
      <w:marTop w:val="0"/>
      <w:marBottom w:val="0"/>
      <w:divBdr>
        <w:top w:val="none" w:sz="0" w:space="0" w:color="auto"/>
        <w:left w:val="none" w:sz="0" w:space="0" w:color="auto"/>
        <w:bottom w:val="none" w:sz="0" w:space="0" w:color="auto"/>
        <w:right w:val="none" w:sz="0" w:space="0" w:color="auto"/>
      </w:divBdr>
    </w:div>
    <w:div w:id="941302769">
      <w:bodyDiv w:val="1"/>
      <w:marLeft w:val="0"/>
      <w:marRight w:val="0"/>
      <w:marTop w:val="0"/>
      <w:marBottom w:val="0"/>
      <w:divBdr>
        <w:top w:val="none" w:sz="0" w:space="0" w:color="auto"/>
        <w:left w:val="none" w:sz="0" w:space="0" w:color="auto"/>
        <w:bottom w:val="none" w:sz="0" w:space="0" w:color="auto"/>
        <w:right w:val="none" w:sz="0" w:space="0" w:color="auto"/>
      </w:divBdr>
    </w:div>
    <w:div w:id="1012491095">
      <w:bodyDiv w:val="1"/>
      <w:marLeft w:val="0"/>
      <w:marRight w:val="0"/>
      <w:marTop w:val="0"/>
      <w:marBottom w:val="0"/>
      <w:divBdr>
        <w:top w:val="none" w:sz="0" w:space="0" w:color="auto"/>
        <w:left w:val="none" w:sz="0" w:space="0" w:color="auto"/>
        <w:bottom w:val="none" w:sz="0" w:space="0" w:color="auto"/>
        <w:right w:val="none" w:sz="0" w:space="0" w:color="auto"/>
      </w:divBdr>
    </w:div>
    <w:div w:id="1043752278">
      <w:bodyDiv w:val="1"/>
      <w:marLeft w:val="0"/>
      <w:marRight w:val="0"/>
      <w:marTop w:val="0"/>
      <w:marBottom w:val="0"/>
      <w:divBdr>
        <w:top w:val="none" w:sz="0" w:space="0" w:color="auto"/>
        <w:left w:val="none" w:sz="0" w:space="0" w:color="auto"/>
        <w:bottom w:val="none" w:sz="0" w:space="0" w:color="auto"/>
        <w:right w:val="none" w:sz="0" w:space="0" w:color="auto"/>
      </w:divBdr>
    </w:div>
    <w:div w:id="1073048146">
      <w:bodyDiv w:val="1"/>
      <w:marLeft w:val="0"/>
      <w:marRight w:val="0"/>
      <w:marTop w:val="0"/>
      <w:marBottom w:val="0"/>
      <w:divBdr>
        <w:top w:val="none" w:sz="0" w:space="0" w:color="auto"/>
        <w:left w:val="none" w:sz="0" w:space="0" w:color="auto"/>
        <w:bottom w:val="none" w:sz="0" w:space="0" w:color="auto"/>
        <w:right w:val="none" w:sz="0" w:space="0" w:color="auto"/>
      </w:divBdr>
    </w:div>
    <w:div w:id="1209414454">
      <w:bodyDiv w:val="1"/>
      <w:marLeft w:val="0"/>
      <w:marRight w:val="0"/>
      <w:marTop w:val="0"/>
      <w:marBottom w:val="0"/>
      <w:divBdr>
        <w:top w:val="none" w:sz="0" w:space="0" w:color="auto"/>
        <w:left w:val="none" w:sz="0" w:space="0" w:color="auto"/>
        <w:bottom w:val="none" w:sz="0" w:space="0" w:color="auto"/>
        <w:right w:val="none" w:sz="0" w:space="0" w:color="auto"/>
      </w:divBdr>
    </w:div>
    <w:div w:id="1260523491">
      <w:bodyDiv w:val="1"/>
      <w:marLeft w:val="0"/>
      <w:marRight w:val="0"/>
      <w:marTop w:val="0"/>
      <w:marBottom w:val="0"/>
      <w:divBdr>
        <w:top w:val="none" w:sz="0" w:space="0" w:color="auto"/>
        <w:left w:val="none" w:sz="0" w:space="0" w:color="auto"/>
        <w:bottom w:val="none" w:sz="0" w:space="0" w:color="auto"/>
        <w:right w:val="none" w:sz="0" w:space="0" w:color="auto"/>
      </w:divBdr>
    </w:div>
    <w:div w:id="1313215231">
      <w:bodyDiv w:val="1"/>
      <w:marLeft w:val="0"/>
      <w:marRight w:val="0"/>
      <w:marTop w:val="0"/>
      <w:marBottom w:val="0"/>
      <w:divBdr>
        <w:top w:val="none" w:sz="0" w:space="0" w:color="auto"/>
        <w:left w:val="none" w:sz="0" w:space="0" w:color="auto"/>
        <w:bottom w:val="none" w:sz="0" w:space="0" w:color="auto"/>
        <w:right w:val="none" w:sz="0" w:space="0" w:color="auto"/>
      </w:divBdr>
    </w:div>
    <w:div w:id="1405835641">
      <w:bodyDiv w:val="1"/>
      <w:marLeft w:val="0"/>
      <w:marRight w:val="0"/>
      <w:marTop w:val="0"/>
      <w:marBottom w:val="0"/>
      <w:divBdr>
        <w:top w:val="none" w:sz="0" w:space="0" w:color="auto"/>
        <w:left w:val="none" w:sz="0" w:space="0" w:color="auto"/>
        <w:bottom w:val="none" w:sz="0" w:space="0" w:color="auto"/>
        <w:right w:val="none" w:sz="0" w:space="0" w:color="auto"/>
      </w:divBdr>
    </w:div>
    <w:div w:id="1607076058">
      <w:bodyDiv w:val="1"/>
      <w:marLeft w:val="0"/>
      <w:marRight w:val="0"/>
      <w:marTop w:val="0"/>
      <w:marBottom w:val="0"/>
      <w:divBdr>
        <w:top w:val="none" w:sz="0" w:space="0" w:color="auto"/>
        <w:left w:val="none" w:sz="0" w:space="0" w:color="auto"/>
        <w:bottom w:val="none" w:sz="0" w:space="0" w:color="auto"/>
        <w:right w:val="none" w:sz="0" w:space="0" w:color="auto"/>
      </w:divBdr>
    </w:div>
    <w:div w:id="1699161477">
      <w:bodyDiv w:val="1"/>
      <w:marLeft w:val="0"/>
      <w:marRight w:val="0"/>
      <w:marTop w:val="0"/>
      <w:marBottom w:val="0"/>
      <w:divBdr>
        <w:top w:val="none" w:sz="0" w:space="0" w:color="auto"/>
        <w:left w:val="none" w:sz="0" w:space="0" w:color="auto"/>
        <w:bottom w:val="none" w:sz="0" w:space="0" w:color="auto"/>
        <w:right w:val="none" w:sz="0" w:space="0" w:color="auto"/>
      </w:divBdr>
    </w:div>
    <w:div w:id="1729953898">
      <w:bodyDiv w:val="1"/>
      <w:marLeft w:val="0"/>
      <w:marRight w:val="0"/>
      <w:marTop w:val="0"/>
      <w:marBottom w:val="0"/>
      <w:divBdr>
        <w:top w:val="none" w:sz="0" w:space="0" w:color="auto"/>
        <w:left w:val="none" w:sz="0" w:space="0" w:color="auto"/>
        <w:bottom w:val="none" w:sz="0" w:space="0" w:color="auto"/>
        <w:right w:val="none" w:sz="0" w:space="0" w:color="auto"/>
      </w:divBdr>
    </w:div>
    <w:div w:id="1764379421">
      <w:bodyDiv w:val="1"/>
      <w:marLeft w:val="0"/>
      <w:marRight w:val="0"/>
      <w:marTop w:val="0"/>
      <w:marBottom w:val="0"/>
      <w:divBdr>
        <w:top w:val="none" w:sz="0" w:space="0" w:color="auto"/>
        <w:left w:val="none" w:sz="0" w:space="0" w:color="auto"/>
        <w:bottom w:val="none" w:sz="0" w:space="0" w:color="auto"/>
        <w:right w:val="none" w:sz="0" w:space="0" w:color="auto"/>
      </w:divBdr>
    </w:div>
    <w:div w:id="1838492187">
      <w:bodyDiv w:val="1"/>
      <w:marLeft w:val="0"/>
      <w:marRight w:val="0"/>
      <w:marTop w:val="0"/>
      <w:marBottom w:val="0"/>
      <w:divBdr>
        <w:top w:val="none" w:sz="0" w:space="0" w:color="auto"/>
        <w:left w:val="none" w:sz="0" w:space="0" w:color="auto"/>
        <w:bottom w:val="none" w:sz="0" w:space="0" w:color="auto"/>
        <w:right w:val="none" w:sz="0" w:space="0" w:color="auto"/>
      </w:divBdr>
    </w:div>
    <w:div w:id="1883595833">
      <w:bodyDiv w:val="1"/>
      <w:marLeft w:val="0"/>
      <w:marRight w:val="0"/>
      <w:marTop w:val="0"/>
      <w:marBottom w:val="0"/>
      <w:divBdr>
        <w:top w:val="none" w:sz="0" w:space="0" w:color="auto"/>
        <w:left w:val="none" w:sz="0" w:space="0" w:color="auto"/>
        <w:bottom w:val="none" w:sz="0" w:space="0" w:color="auto"/>
        <w:right w:val="none" w:sz="0" w:space="0" w:color="auto"/>
      </w:divBdr>
    </w:div>
    <w:div w:id="1996449231">
      <w:bodyDiv w:val="1"/>
      <w:marLeft w:val="0"/>
      <w:marRight w:val="0"/>
      <w:marTop w:val="0"/>
      <w:marBottom w:val="0"/>
      <w:divBdr>
        <w:top w:val="none" w:sz="0" w:space="0" w:color="auto"/>
        <w:left w:val="none" w:sz="0" w:space="0" w:color="auto"/>
        <w:bottom w:val="none" w:sz="0" w:space="0" w:color="auto"/>
        <w:right w:val="none" w:sz="0" w:space="0" w:color="auto"/>
      </w:divBdr>
    </w:div>
    <w:div w:id="20429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EBC4-AF99-4442-9BBA-DEA304D1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16</Pages>
  <Words>5591</Words>
  <Characters>31874</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McNair</dc:creator>
  <cp:keywords/>
  <dc:description/>
  <cp:lastModifiedBy>Riley McCullough</cp:lastModifiedBy>
  <cp:revision>2</cp:revision>
  <cp:lastPrinted>2023-11-30T13:21:00Z</cp:lastPrinted>
  <dcterms:created xsi:type="dcterms:W3CDTF">2024-01-04T21:16:00Z</dcterms:created>
  <dcterms:modified xsi:type="dcterms:W3CDTF">2024-01-04T21:16:00Z</dcterms:modified>
</cp:coreProperties>
</file>